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6951037"/>
        <w:docPartObj>
          <w:docPartGallery w:val="Cover Pages"/>
          <w:docPartUnique/>
        </w:docPartObj>
      </w:sdtPr>
      <w:sdtEndPr>
        <w:rPr>
          <w:rFonts w:asciiTheme="majorHAnsi" w:eastAsiaTheme="majorEastAsia" w:hAnsiTheme="majorHAnsi" w:cstheme="majorBidi"/>
        </w:rPr>
      </w:sdtEndPr>
      <w:sdtContent>
        <w:p w:rsidR="00FE295B" w:rsidRDefault="00FE295B"/>
        <w:tbl>
          <w:tblPr>
            <w:tblpPr w:leftFromText="187" w:rightFromText="187" w:vertAnchor="page" w:horzAnchor="margin" w:tblpY="4966"/>
            <w:tblW w:w="5087" w:type="pct"/>
            <w:tblCellMar>
              <w:top w:w="216" w:type="dxa"/>
              <w:left w:w="216" w:type="dxa"/>
              <w:bottom w:w="216" w:type="dxa"/>
              <w:right w:w="216" w:type="dxa"/>
            </w:tblCellMar>
            <w:tblLook w:val="04A0" w:firstRow="1" w:lastRow="0" w:firstColumn="1" w:lastColumn="0" w:noHBand="0" w:noVBand="1"/>
          </w:tblPr>
          <w:tblGrid>
            <w:gridCol w:w="4061"/>
            <w:gridCol w:w="2954"/>
            <w:gridCol w:w="2648"/>
          </w:tblGrid>
          <w:tr w:rsidR="00971F34" w:rsidTr="00971F34">
            <w:trPr>
              <w:trHeight w:val="6645"/>
            </w:trPr>
            <w:tc>
              <w:tcPr>
                <w:tcW w:w="4064" w:type="dxa"/>
                <w:tcBorders>
                  <w:bottom w:val="single" w:sz="18" w:space="0" w:color="808080" w:themeColor="background1" w:themeShade="80"/>
                  <w:right w:val="single" w:sz="18" w:space="0" w:color="808080" w:themeColor="background1" w:themeShade="80"/>
                </w:tcBorders>
                <w:vAlign w:val="center"/>
              </w:tcPr>
              <w:p w:rsidR="00971F34" w:rsidRDefault="00C00F62" w:rsidP="00971F34">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E03964">
                      <w:rPr>
                        <w:rFonts w:asciiTheme="majorHAnsi" w:eastAsiaTheme="majorEastAsia" w:hAnsiTheme="majorHAnsi" w:cstheme="majorBidi"/>
                        <w:sz w:val="76"/>
                        <w:szCs w:val="72"/>
                        <w:lang w:val="hr-HR"/>
                      </w:rPr>
                      <w:t>Izvješće Uprave Društva o stanju i poslovanju</w:t>
                    </w:r>
                  </w:sdtContent>
                </w:sdt>
              </w:p>
            </w:tc>
            <w:tc>
              <w:tcPr>
                <w:tcW w:w="5633" w:type="dxa"/>
                <w:gridSpan w:val="2"/>
                <w:tcBorders>
                  <w:left w:val="single" w:sz="18" w:space="0" w:color="808080" w:themeColor="background1" w:themeShade="80"/>
                  <w:bottom w:val="single" w:sz="18" w:space="0" w:color="808080" w:themeColor="background1" w:themeShade="80"/>
                </w:tcBorders>
                <w:vAlign w:val="center"/>
              </w:tcPr>
              <w:p w:rsidR="00971F34" w:rsidRDefault="00971F34" w:rsidP="00971F34">
                <w:pPr>
                  <w:pStyle w:val="NoSpacing"/>
                  <w:rPr>
                    <w:rFonts w:asciiTheme="majorHAnsi" w:eastAsiaTheme="majorEastAsia" w:hAnsiTheme="majorHAnsi" w:cstheme="majorBidi"/>
                    <w:sz w:val="36"/>
                    <w:szCs w:val="36"/>
                  </w:rPr>
                </w:pPr>
              </w:p>
              <w:sdt>
                <w:sdtPr>
                  <w:rPr>
                    <w:color w:val="E36C0A" w:themeColor="accent6" w:themeShade="BF"/>
                    <w:sz w:val="200"/>
                    <w:szCs w:val="200"/>
                  </w:rPr>
                  <w:alias w:val="Year"/>
                  <w:id w:val="27671317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971F34" w:rsidRDefault="00D84B17" w:rsidP="00971F34">
                    <w:pPr>
                      <w:pStyle w:val="NoSpacing"/>
                      <w:rPr>
                        <w:color w:val="4F81BD" w:themeColor="accent1"/>
                        <w:sz w:val="200"/>
                        <w:szCs w:val="200"/>
                      </w:rPr>
                    </w:pPr>
                    <w:r>
                      <w:rPr>
                        <w:color w:val="E36C0A" w:themeColor="accent6" w:themeShade="BF"/>
                        <w:sz w:val="200"/>
                        <w:szCs w:val="200"/>
                      </w:rPr>
                      <w:t>2015.</w:t>
                    </w:r>
                  </w:p>
                </w:sdtContent>
              </w:sdt>
            </w:tc>
          </w:tr>
          <w:tr w:rsidR="00971F34" w:rsidTr="00971F34">
            <w:trPr>
              <w:trHeight w:val="540"/>
            </w:trPr>
            <w:tc>
              <w:tcPr>
                <w:tcW w:w="7022" w:type="dxa"/>
                <w:gridSpan w:val="2"/>
                <w:tcBorders>
                  <w:top w:val="single" w:sz="18" w:space="0" w:color="808080" w:themeColor="background1" w:themeShade="80"/>
                </w:tcBorders>
                <w:vAlign w:val="center"/>
              </w:tcPr>
              <w:p w:rsidR="00971F34" w:rsidRDefault="00971F34" w:rsidP="00971F34">
                <w:pPr>
                  <w:pStyle w:val="NoSpacing"/>
                </w:pPr>
                <w:r w:rsidRPr="00FE295B">
                  <w:rPr>
                    <w:noProof/>
                    <w:lang w:val="hr-HR" w:eastAsia="hr-HR"/>
                  </w:rPr>
                  <w:drawing>
                    <wp:anchor distT="0" distB="0" distL="114300" distR="114300" simplePos="0" relativeHeight="251658240" behindDoc="1" locked="1" layoutInCell="1" allowOverlap="1" wp14:anchorId="4636E9F4" wp14:editId="43BA2210">
                      <wp:simplePos x="0" y="0"/>
                      <wp:positionH relativeFrom="page">
                        <wp:posOffset>156210</wp:posOffset>
                      </wp:positionH>
                      <wp:positionV relativeFrom="page">
                        <wp:posOffset>5995035</wp:posOffset>
                      </wp:positionV>
                      <wp:extent cx="6610350" cy="647700"/>
                      <wp:effectExtent l="19050" t="0" r="0" b="0"/>
                      <wp:wrapNone/>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KACESTE_memo tekst.pdf"/>
                              <pic:cNvPicPr/>
                            </pic:nvPicPr>
                            <pic:blipFill>
                              <a:blip r:embed="rId10">
                                <a:extLst>
                                  <a:ext uri="{28A0092B-C50C-407E-A947-70E740481C1C}">
                                    <a14:useLocalDpi xmlns:a14="http://schemas.microsoft.com/office/drawing/2010/main" val="0"/>
                                  </a:ext>
                                </a:extLst>
                              </a:blip>
                              <a:stretch>
                                <a:fillRect/>
                              </a:stretch>
                            </pic:blipFill>
                            <pic:spPr>
                              <a:xfrm>
                                <a:off x="0" y="0"/>
                                <a:ext cx="6610350" cy="647700"/>
                              </a:xfrm>
                              <a:prstGeom prst="rect">
                                <a:avLst/>
                              </a:prstGeom>
                            </pic:spPr>
                          </pic:pic>
                        </a:graphicData>
                      </a:graphic>
                    </wp:anchor>
                  </w:drawing>
                </w:r>
              </w:p>
            </w:tc>
            <w:tc>
              <w:tcPr>
                <w:tcW w:w="2676" w:type="dxa"/>
                <w:tcBorders>
                  <w:top w:val="single" w:sz="18" w:space="0" w:color="808080" w:themeColor="background1" w:themeShade="80"/>
                </w:tcBorders>
                <w:vAlign w:val="center"/>
              </w:tcPr>
              <w:p w:rsidR="00971F34" w:rsidRDefault="00971F34" w:rsidP="00971F34">
                <w:pPr>
                  <w:pStyle w:val="NoSpacing"/>
                  <w:rPr>
                    <w:rFonts w:asciiTheme="majorHAnsi" w:eastAsiaTheme="majorEastAsia" w:hAnsiTheme="majorHAnsi" w:cstheme="majorBidi"/>
                    <w:sz w:val="36"/>
                    <w:szCs w:val="36"/>
                  </w:rPr>
                </w:pPr>
              </w:p>
            </w:tc>
          </w:tr>
        </w:tbl>
        <w:p w:rsidR="00933A35" w:rsidRPr="00D84B17" w:rsidRDefault="00FE295B" w:rsidP="00D84B17">
          <w:pPr>
            <w:rPr>
              <w:rFonts w:asciiTheme="majorHAnsi" w:eastAsiaTheme="majorEastAsia" w:hAnsiTheme="majorHAnsi" w:cstheme="majorBidi"/>
            </w:rPr>
          </w:pPr>
          <w:r>
            <w:rPr>
              <w:rFonts w:asciiTheme="majorHAnsi" w:eastAsiaTheme="majorEastAsia" w:hAnsiTheme="majorHAnsi" w:cstheme="majorBidi"/>
            </w:rPr>
            <w:br w:type="page"/>
          </w:r>
          <w:r w:rsidR="00971F34" w:rsidRPr="00971F34">
            <w:rPr>
              <w:rFonts w:asciiTheme="majorHAnsi" w:eastAsiaTheme="majorEastAsia" w:hAnsiTheme="majorHAnsi" w:cstheme="majorBidi"/>
              <w:noProof/>
            </w:rPr>
            <w:drawing>
              <wp:anchor distT="0" distB="0" distL="114300" distR="114300" simplePos="0" relativeHeight="251657216" behindDoc="1" locked="1" layoutInCell="1" allowOverlap="1" wp14:anchorId="56B99348" wp14:editId="28541856">
                <wp:simplePos x="0" y="0"/>
                <wp:positionH relativeFrom="page">
                  <wp:posOffset>1866900</wp:posOffset>
                </wp:positionH>
                <wp:positionV relativeFrom="page">
                  <wp:posOffset>552450</wp:posOffset>
                </wp:positionV>
                <wp:extent cx="3600450" cy="838200"/>
                <wp:effectExtent l="19050" t="0" r="0" b="0"/>
                <wp:wrapNone/>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KA CESTE_PDF2.pdf"/>
                        <pic:cNvPicPr/>
                      </pic:nvPicPr>
                      <pic:blipFill>
                        <a:blip r:embed="rId11">
                          <a:extLst>
                            <a:ext uri="{28A0092B-C50C-407E-A947-70E740481C1C}">
                              <a14:useLocalDpi xmlns:a14="http://schemas.microsoft.com/office/drawing/2010/main" val="0"/>
                            </a:ext>
                          </a:extLst>
                        </a:blip>
                        <a:stretch>
                          <a:fillRect/>
                        </a:stretch>
                      </pic:blipFill>
                      <pic:spPr>
                        <a:xfrm>
                          <a:off x="0" y="0"/>
                          <a:ext cx="3600450" cy="83820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sdtContent>
    </w:sdt>
    <w:p w:rsidR="00971F34" w:rsidRDefault="00971F34" w:rsidP="00774FA3">
      <w:pPr>
        <w:widowControl w:val="0"/>
        <w:autoSpaceDE w:val="0"/>
        <w:autoSpaceDN w:val="0"/>
        <w:adjustRightInd w:val="0"/>
        <w:spacing w:after="0" w:line="240" w:lineRule="auto"/>
        <w:rPr>
          <w:rFonts w:cs="Calibri"/>
          <w:b/>
          <w:bCs/>
          <w:sz w:val="32"/>
          <w:szCs w:val="32"/>
        </w:rPr>
      </w:pPr>
    </w:p>
    <w:p w:rsidR="00971F34" w:rsidRDefault="00971F34" w:rsidP="00971F34">
      <w:pPr>
        <w:jc w:val="center"/>
        <w:rPr>
          <w:rFonts w:cs="Calibri"/>
          <w:b/>
          <w:bCs/>
          <w:sz w:val="48"/>
          <w:szCs w:val="48"/>
        </w:rPr>
      </w:pPr>
      <w:r w:rsidRPr="00971F34">
        <w:rPr>
          <w:rFonts w:ascii="Cambria" w:hAnsi="Cambria" w:cs="Calibri"/>
          <w:b/>
          <w:bCs/>
          <w:sz w:val="48"/>
          <w:szCs w:val="48"/>
        </w:rPr>
        <w:t>SADRŽAJ</w:t>
      </w:r>
      <w:r w:rsidRPr="00971F34">
        <w:rPr>
          <w:rFonts w:cs="Calibri"/>
          <w:b/>
          <w:bCs/>
          <w:sz w:val="48"/>
          <w:szCs w:val="48"/>
        </w:rPr>
        <w:t xml:space="preserve"> </w:t>
      </w:r>
    </w:p>
    <w:p w:rsidR="00971F34" w:rsidRDefault="00971F34" w:rsidP="00971F34">
      <w:pPr>
        <w:jc w:val="center"/>
        <w:rPr>
          <w:rFonts w:cs="Calibri"/>
          <w:b/>
          <w:bCs/>
          <w:sz w:val="48"/>
          <w:szCs w:val="48"/>
        </w:rPr>
      </w:pPr>
    </w:p>
    <w:p w:rsidR="00D779C1" w:rsidRDefault="00D779C1" w:rsidP="00D779C1">
      <w:pPr>
        <w:rPr>
          <w:rFonts w:cs="Calibri"/>
          <w:b/>
          <w:bCs/>
          <w:sz w:val="32"/>
          <w:szCs w:val="32"/>
        </w:rPr>
      </w:pPr>
      <w:r w:rsidRPr="00D779C1">
        <w:rPr>
          <w:rFonts w:cs="Calibri"/>
          <w:b/>
          <w:bCs/>
          <w:sz w:val="32"/>
          <w:szCs w:val="32"/>
        </w:rPr>
        <w:t>Osvrt Uprave na poslovanje 2015.</w:t>
      </w:r>
      <w:r>
        <w:rPr>
          <w:rFonts w:cs="Calibri"/>
          <w:b/>
          <w:bCs/>
          <w:sz w:val="32"/>
          <w:szCs w:val="32"/>
        </w:rPr>
        <w:t xml:space="preserve">                                      </w:t>
      </w:r>
      <w:r w:rsidRPr="00D779C1">
        <w:rPr>
          <w:rFonts w:ascii="Cambria" w:hAnsi="Cambria" w:cs="Calibri"/>
          <w:b/>
          <w:bCs/>
          <w:color w:val="E36C0A" w:themeColor="accent6" w:themeShade="BF"/>
          <w:sz w:val="36"/>
          <w:szCs w:val="36"/>
        </w:rPr>
        <w:t>4</w:t>
      </w:r>
    </w:p>
    <w:p w:rsidR="00D779C1" w:rsidRDefault="00D779C1" w:rsidP="00D779C1">
      <w:pPr>
        <w:spacing w:after="0" w:line="240" w:lineRule="auto"/>
        <w:rPr>
          <w:rFonts w:cs="Calibri"/>
          <w:b/>
          <w:bCs/>
          <w:sz w:val="32"/>
          <w:szCs w:val="32"/>
        </w:rPr>
      </w:pPr>
    </w:p>
    <w:p w:rsidR="00D779C1" w:rsidRDefault="00D779C1" w:rsidP="00D779C1">
      <w:pPr>
        <w:spacing w:line="240" w:lineRule="auto"/>
        <w:rPr>
          <w:rFonts w:cs="Calibri"/>
          <w:b/>
          <w:bCs/>
          <w:sz w:val="32"/>
          <w:szCs w:val="32"/>
        </w:rPr>
      </w:pPr>
      <w:r>
        <w:rPr>
          <w:rFonts w:cs="Calibri"/>
          <w:b/>
          <w:bCs/>
          <w:sz w:val="32"/>
          <w:szCs w:val="32"/>
        </w:rPr>
        <w:t xml:space="preserve">Osnovni podaci o Društvu                                                     </w:t>
      </w:r>
      <w:r w:rsidRPr="00D779C1">
        <w:rPr>
          <w:rFonts w:ascii="Cambria" w:hAnsi="Cambria" w:cs="Calibri"/>
          <w:b/>
          <w:bCs/>
          <w:color w:val="E36C0A" w:themeColor="accent6" w:themeShade="BF"/>
          <w:sz w:val="36"/>
          <w:szCs w:val="36"/>
        </w:rPr>
        <w:t>5</w:t>
      </w:r>
    </w:p>
    <w:p w:rsidR="00D779C1" w:rsidRPr="00D779C1" w:rsidRDefault="00D779C1" w:rsidP="00D779C1">
      <w:pPr>
        <w:spacing w:after="0" w:line="240" w:lineRule="auto"/>
        <w:rPr>
          <w:rFonts w:cs="Calibri"/>
          <w:b/>
          <w:bCs/>
          <w:i/>
          <w:sz w:val="32"/>
          <w:szCs w:val="32"/>
        </w:rPr>
      </w:pPr>
      <w:r w:rsidRPr="00D779C1">
        <w:rPr>
          <w:rFonts w:cs="Calibri"/>
          <w:b/>
          <w:bCs/>
          <w:i/>
          <w:sz w:val="32"/>
          <w:szCs w:val="32"/>
        </w:rPr>
        <w:t xml:space="preserve">      Ljudski resursi</w:t>
      </w:r>
      <w:r>
        <w:rPr>
          <w:rFonts w:cs="Calibri"/>
          <w:b/>
          <w:bCs/>
          <w:i/>
          <w:sz w:val="32"/>
          <w:szCs w:val="32"/>
        </w:rPr>
        <w:t xml:space="preserve">                                                                    </w:t>
      </w:r>
      <w:r w:rsidRPr="00CA0481">
        <w:rPr>
          <w:rFonts w:ascii="Cambria" w:hAnsi="Cambria" w:cs="Calibri"/>
          <w:b/>
          <w:bCs/>
          <w:color w:val="E36C0A" w:themeColor="accent6" w:themeShade="BF"/>
          <w:sz w:val="36"/>
          <w:szCs w:val="36"/>
        </w:rPr>
        <w:t>7</w:t>
      </w:r>
    </w:p>
    <w:p w:rsidR="00D779C1" w:rsidRPr="00D779C1" w:rsidRDefault="00D779C1" w:rsidP="00D779C1">
      <w:pPr>
        <w:spacing w:after="0" w:line="240" w:lineRule="auto"/>
        <w:rPr>
          <w:rFonts w:cs="Calibri"/>
          <w:b/>
          <w:bCs/>
          <w:i/>
          <w:sz w:val="32"/>
          <w:szCs w:val="32"/>
        </w:rPr>
      </w:pPr>
      <w:r w:rsidRPr="00D779C1">
        <w:rPr>
          <w:rFonts w:cs="Calibri"/>
          <w:b/>
          <w:bCs/>
          <w:i/>
          <w:sz w:val="32"/>
          <w:szCs w:val="32"/>
        </w:rPr>
        <w:t xml:space="preserve">      Zakonski okvir poslovanja</w:t>
      </w:r>
      <w:r>
        <w:rPr>
          <w:rFonts w:cs="Calibri"/>
          <w:b/>
          <w:bCs/>
          <w:i/>
          <w:sz w:val="32"/>
          <w:szCs w:val="32"/>
        </w:rPr>
        <w:t xml:space="preserve">                                              </w:t>
      </w:r>
      <w:r w:rsidRPr="00CA0481">
        <w:rPr>
          <w:rFonts w:ascii="Cambria" w:hAnsi="Cambria" w:cs="Calibri"/>
          <w:b/>
          <w:bCs/>
          <w:color w:val="E36C0A" w:themeColor="accent6" w:themeShade="BF"/>
          <w:sz w:val="36"/>
          <w:szCs w:val="36"/>
        </w:rPr>
        <w:t>10</w:t>
      </w:r>
    </w:p>
    <w:p w:rsidR="00D779C1" w:rsidRDefault="00D779C1" w:rsidP="00D779C1">
      <w:pPr>
        <w:spacing w:line="240" w:lineRule="auto"/>
        <w:rPr>
          <w:rFonts w:cs="Calibri"/>
          <w:b/>
          <w:bCs/>
          <w:sz w:val="32"/>
          <w:szCs w:val="32"/>
        </w:rPr>
      </w:pPr>
    </w:p>
    <w:p w:rsidR="00CA0481" w:rsidRDefault="00D779C1" w:rsidP="00D779C1">
      <w:pPr>
        <w:spacing w:line="240" w:lineRule="auto"/>
        <w:rPr>
          <w:rFonts w:ascii="Cambria" w:hAnsi="Cambria" w:cs="Calibri"/>
          <w:b/>
          <w:bCs/>
          <w:color w:val="E36C0A" w:themeColor="accent6" w:themeShade="BF"/>
          <w:sz w:val="36"/>
          <w:szCs w:val="36"/>
        </w:rPr>
      </w:pPr>
      <w:r>
        <w:rPr>
          <w:rFonts w:cs="Calibri"/>
          <w:b/>
          <w:bCs/>
          <w:sz w:val="32"/>
          <w:szCs w:val="32"/>
        </w:rPr>
        <w:t xml:space="preserve">Prikaz rezultata poslovanja Društva                                   </w:t>
      </w:r>
      <w:r w:rsidRPr="00D779C1">
        <w:rPr>
          <w:rFonts w:ascii="Cambria" w:hAnsi="Cambria" w:cs="Calibri"/>
          <w:b/>
          <w:bCs/>
          <w:color w:val="E36C0A" w:themeColor="accent6" w:themeShade="BF"/>
          <w:sz w:val="36"/>
          <w:szCs w:val="36"/>
        </w:rPr>
        <w:t>11</w:t>
      </w:r>
    </w:p>
    <w:p w:rsidR="00CA0481" w:rsidRDefault="00CA0481" w:rsidP="00CA0481">
      <w:pPr>
        <w:spacing w:after="0" w:line="240" w:lineRule="auto"/>
        <w:rPr>
          <w:rFonts w:cs="Calibri"/>
          <w:b/>
          <w:bCs/>
          <w:i/>
          <w:sz w:val="32"/>
          <w:szCs w:val="32"/>
        </w:rPr>
      </w:pPr>
      <w:r w:rsidRPr="00CA0481">
        <w:rPr>
          <w:rFonts w:ascii="Cambria" w:hAnsi="Cambria" w:cs="Calibri"/>
          <w:b/>
          <w:bCs/>
          <w:i/>
          <w:sz w:val="32"/>
          <w:szCs w:val="32"/>
        </w:rPr>
        <w:t xml:space="preserve">    </w:t>
      </w:r>
      <w:r>
        <w:rPr>
          <w:rFonts w:ascii="Cambria" w:hAnsi="Cambria" w:cs="Calibri"/>
          <w:b/>
          <w:bCs/>
          <w:i/>
          <w:sz w:val="32"/>
          <w:szCs w:val="32"/>
        </w:rPr>
        <w:t xml:space="preserve"> </w:t>
      </w:r>
      <w:r w:rsidRPr="00CA0481">
        <w:rPr>
          <w:rFonts w:ascii="Cambria" w:hAnsi="Cambria" w:cs="Calibri"/>
          <w:b/>
          <w:bCs/>
          <w:i/>
          <w:sz w:val="32"/>
          <w:szCs w:val="32"/>
        </w:rPr>
        <w:t xml:space="preserve"> </w:t>
      </w:r>
      <w:r w:rsidRPr="00CA0481">
        <w:rPr>
          <w:rFonts w:cs="Calibri"/>
          <w:b/>
          <w:bCs/>
          <w:i/>
          <w:sz w:val="32"/>
          <w:szCs w:val="32"/>
        </w:rPr>
        <w:t>Poslovni prihodi</w:t>
      </w:r>
      <w:r>
        <w:rPr>
          <w:rFonts w:cs="Calibri"/>
          <w:b/>
          <w:bCs/>
          <w:i/>
          <w:sz w:val="32"/>
          <w:szCs w:val="32"/>
        </w:rPr>
        <w:t xml:space="preserve">                                                               </w:t>
      </w:r>
      <w:r w:rsidR="00D42F58">
        <w:rPr>
          <w:rFonts w:cs="Calibri"/>
          <w:b/>
          <w:bCs/>
          <w:i/>
          <w:sz w:val="32"/>
          <w:szCs w:val="32"/>
        </w:rPr>
        <w:t xml:space="preserve"> </w:t>
      </w:r>
      <w:r>
        <w:rPr>
          <w:rFonts w:cs="Calibri"/>
          <w:b/>
          <w:bCs/>
          <w:i/>
          <w:sz w:val="32"/>
          <w:szCs w:val="32"/>
        </w:rPr>
        <w:t xml:space="preserve"> </w:t>
      </w:r>
      <w:r w:rsidRPr="00CA0481">
        <w:rPr>
          <w:rFonts w:ascii="Cambria" w:hAnsi="Cambria" w:cs="Calibri"/>
          <w:b/>
          <w:bCs/>
          <w:color w:val="E36C0A" w:themeColor="accent6" w:themeShade="BF"/>
          <w:sz w:val="36"/>
          <w:szCs w:val="36"/>
        </w:rPr>
        <w:t>12</w:t>
      </w:r>
    </w:p>
    <w:p w:rsidR="00CA0481" w:rsidRDefault="00CA0481" w:rsidP="00CA0481">
      <w:pPr>
        <w:spacing w:after="0" w:line="240" w:lineRule="auto"/>
        <w:rPr>
          <w:rFonts w:cs="Calibri"/>
          <w:b/>
          <w:bCs/>
          <w:i/>
          <w:sz w:val="32"/>
          <w:szCs w:val="32"/>
        </w:rPr>
      </w:pPr>
      <w:r>
        <w:rPr>
          <w:rFonts w:cs="Calibri"/>
          <w:b/>
          <w:bCs/>
          <w:i/>
          <w:sz w:val="32"/>
          <w:szCs w:val="32"/>
        </w:rPr>
        <w:t xml:space="preserve">     Poslovni rashodi                                                   </w:t>
      </w:r>
      <w:r w:rsidR="00D42F58">
        <w:rPr>
          <w:rFonts w:cs="Calibri"/>
          <w:b/>
          <w:bCs/>
          <w:i/>
          <w:sz w:val="32"/>
          <w:szCs w:val="32"/>
        </w:rPr>
        <w:t xml:space="preserve"> </w:t>
      </w:r>
      <w:r>
        <w:rPr>
          <w:rFonts w:cs="Calibri"/>
          <w:b/>
          <w:bCs/>
          <w:i/>
          <w:sz w:val="32"/>
          <w:szCs w:val="32"/>
        </w:rPr>
        <w:t xml:space="preserve">             </w:t>
      </w:r>
      <w:r w:rsidRPr="00CA0481">
        <w:rPr>
          <w:rFonts w:ascii="Cambria" w:hAnsi="Cambria" w:cs="Calibri"/>
          <w:b/>
          <w:bCs/>
          <w:color w:val="E36C0A" w:themeColor="accent6" w:themeShade="BF"/>
          <w:sz w:val="36"/>
          <w:szCs w:val="36"/>
        </w:rPr>
        <w:t>13</w:t>
      </w:r>
    </w:p>
    <w:p w:rsidR="00A61D80" w:rsidRDefault="00CA0481" w:rsidP="00CA0481">
      <w:pPr>
        <w:spacing w:after="0" w:line="240" w:lineRule="auto"/>
        <w:rPr>
          <w:rFonts w:ascii="Cambria" w:hAnsi="Cambria" w:cs="Calibri"/>
          <w:b/>
          <w:bCs/>
          <w:color w:val="E36C0A" w:themeColor="accent6" w:themeShade="BF"/>
          <w:sz w:val="36"/>
          <w:szCs w:val="36"/>
        </w:rPr>
      </w:pPr>
      <w:r>
        <w:rPr>
          <w:rFonts w:cs="Calibri"/>
          <w:b/>
          <w:bCs/>
          <w:i/>
          <w:sz w:val="32"/>
          <w:szCs w:val="32"/>
        </w:rPr>
        <w:t xml:space="preserve">     Bilanca Društva                                                                  </w:t>
      </w:r>
      <w:r w:rsidRPr="00CA0481">
        <w:rPr>
          <w:rFonts w:ascii="Cambria" w:hAnsi="Cambria" w:cs="Calibri"/>
          <w:b/>
          <w:bCs/>
          <w:color w:val="E36C0A" w:themeColor="accent6" w:themeShade="BF"/>
          <w:sz w:val="36"/>
          <w:szCs w:val="36"/>
        </w:rPr>
        <w:t>16</w:t>
      </w:r>
    </w:p>
    <w:p w:rsidR="00A61D80" w:rsidRDefault="00A61D80" w:rsidP="00CA0481">
      <w:pPr>
        <w:spacing w:after="0" w:line="240" w:lineRule="auto"/>
        <w:rPr>
          <w:rFonts w:ascii="Cambria" w:hAnsi="Cambria" w:cs="Calibri"/>
          <w:b/>
          <w:bCs/>
          <w:color w:val="E36C0A" w:themeColor="accent6" w:themeShade="BF"/>
          <w:sz w:val="36"/>
          <w:szCs w:val="36"/>
        </w:rPr>
      </w:pPr>
    </w:p>
    <w:p w:rsidR="00A61D80" w:rsidRDefault="00A61D80" w:rsidP="00A61D80">
      <w:pPr>
        <w:spacing w:after="120" w:line="240" w:lineRule="auto"/>
        <w:rPr>
          <w:rFonts w:ascii="Cambria" w:hAnsi="Cambria" w:cs="Calibri"/>
          <w:b/>
          <w:bCs/>
          <w:color w:val="E36C0A" w:themeColor="accent6" w:themeShade="BF"/>
          <w:sz w:val="36"/>
          <w:szCs w:val="36"/>
        </w:rPr>
      </w:pPr>
      <w:r w:rsidRPr="00A61D80">
        <w:rPr>
          <w:rFonts w:cs="Calibri"/>
          <w:b/>
          <w:bCs/>
          <w:sz w:val="32"/>
          <w:szCs w:val="32"/>
        </w:rPr>
        <w:t>Upravljanje rizicima</w:t>
      </w:r>
      <w:r>
        <w:rPr>
          <w:rFonts w:cs="Calibri"/>
          <w:b/>
          <w:bCs/>
          <w:sz w:val="32"/>
          <w:szCs w:val="32"/>
        </w:rPr>
        <w:t xml:space="preserve">                                                                </w:t>
      </w:r>
      <w:r w:rsidRPr="00A61D80">
        <w:rPr>
          <w:rFonts w:ascii="Cambria" w:hAnsi="Cambria" w:cs="Calibri"/>
          <w:b/>
          <w:bCs/>
          <w:color w:val="E36C0A" w:themeColor="accent6" w:themeShade="BF"/>
          <w:sz w:val="36"/>
          <w:szCs w:val="36"/>
        </w:rPr>
        <w:t>18</w:t>
      </w:r>
    </w:p>
    <w:p w:rsidR="00A61D80" w:rsidRDefault="00A61D80" w:rsidP="00A61D80">
      <w:pPr>
        <w:spacing w:after="120" w:line="240" w:lineRule="auto"/>
        <w:rPr>
          <w:rFonts w:ascii="Cambria" w:hAnsi="Cambria" w:cs="Calibri"/>
          <w:b/>
          <w:bCs/>
          <w:color w:val="E36C0A" w:themeColor="accent6" w:themeShade="BF"/>
          <w:sz w:val="36"/>
          <w:szCs w:val="36"/>
        </w:rPr>
      </w:pPr>
    </w:p>
    <w:p w:rsidR="00A61D80" w:rsidRDefault="00A61D80" w:rsidP="00A61D80">
      <w:pPr>
        <w:spacing w:after="120" w:line="240" w:lineRule="auto"/>
        <w:rPr>
          <w:rFonts w:cs="Calibri"/>
          <w:b/>
          <w:bCs/>
          <w:sz w:val="32"/>
          <w:szCs w:val="32"/>
        </w:rPr>
      </w:pPr>
      <w:r>
        <w:rPr>
          <w:rFonts w:ascii="Cambria" w:hAnsi="Cambria" w:cs="Calibri"/>
          <w:b/>
          <w:bCs/>
          <w:color w:val="E36C0A" w:themeColor="accent6" w:themeShade="BF"/>
          <w:sz w:val="36"/>
          <w:szCs w:val="36"/>
        </w:rPr>
        <w:t xml:space="preserve"> </w:t>
      </w:r>
      <w:r w:rsidRPr="00A61D80">
        <w:rPr>
          <w:rFonts w:cs="Calibri"/>
          <w:b/>
          <w:bCs/>
          <w:sz w:val="32"/>
          <w:szCs w:val="32"/>
        </w:rPr>
        <w:t>Financijski pokazatelji poslovanja</w:t>
      </w:r>
      <w:r>
        <w:rPr>
          <w:rFonts w:cs="Calibri"/>
          <w:b/>
          <w:bCs/>
          <w:sz w:val="32"/>
          <w:szCs w:val="32"/>
        </w:rPr>
        <w:t xml:space="preserve">                                      </w:t>
      </w:r>
      <w:r w:rsidRPr="00A61D80">
        <w:rPr>
          <w:rFonts w:ascii="Cambria" w:hAnsi="Cambria" w:cs="Calibri"/>
          <w:b/>
          <w:bCs/>
          <w:color w:val="E36C0A" w:themeColor="accent6" w:themeShade="BF"/>
          <w:sz w:val="36"/>
          <w:szCs w:val="36"/>
        </w:rPr>
        <w:t>19</w:t>
      </w:r>
      <w:r>
        <w:rPr>
          <w:rFonts w:cs="Calibri"/>
          <w:b/>
          <w:bCs/>
          <w:sz w:val="32"/>
          <w:szCs w:val="32"/>
        </w:rPr>
        <w:t xml:space="preserve"> </w:t>
      </w:r>
    </w:p>
    <w:p w:rsidR="00A61D80" w:rsidRDefault="00A61D80" w:rsidP="00A61D80">
      <w:pPr>
        <w:spacing w:after="120" w:line="240" w:lineRule="auto"/>
        <w:rPr>
          <w:rFonts w:cs="Calibri"/>
          <w:b/>
          <w:bCs/>
          <w:sz w:val="32"/>
          <w:szCs w:val="32"/>
        </w:rPr>
      </w:pPr>
    </w:p>
    <w:p w:rsidR="001466A6" w:rsidRDefault="00A61D80" w:rsidP="00A61D80">
      <w:pPr>
        <w:spacing w:after="120" w:line="240" w:lineRule="auto"/>
        <w:rPr>
          <w:rFonts w:ascii="Cambria" w:hAnsi="Cambria" w:cs="Calibri"/>
          <w:b/>
          <w:bCs/>
          <w:color w:val="E36C0A" w:themeColor="accent6" w:themeShade="BF"/>
          <w:sz w:val="36"/>
          <w:szCs w:val="36"/>
        </w:rPr>
      </w:pPr>
      <w:r>
        <w:rPr>
          <w:rFonts w:cs="Calibri"/>
          <w:b/>
          <w:bCs/>
          <w:sz w:val="32"/>
          <w:szCs w:val="32"/>
        </w:rPr>
        <w:t xml:space="preserve">Očekivani razvoj Društva u budućnosti                               </w:t>
      </w:r>
      <w:r w:rsidRPr="00A61D80">
        <w:rPr>
          <w:rFonts w:ascii="Cambria" w:hAnsi="Cambria" w:cs="Calibri"/>
          <w:b/>
          <w:bCs/>
          <w:color w:val="E36C0A" w:themeColor="accent6" w:themeShade="BF"/>
          <w:sz w:val="36"/>
          <w:szCs w:val="36"/>
        </w:rPr>
        <w:t>22</w:t>
      </w:r>
    </w:p>
    <w:p w:rsidR="001466A6" w:rsidRDefault="001466A6" w:rsidP="00A61D80">
      <w:pPr>
        <w:spacing w:after="120" w:line="240" w:lineRule="auto"/>
        <w:rPr>
          <w:rFonts w:ascii="Cambria" w:hAnsi="Cambria" w:cs="Calibri"/>
          <w:b/>
          <w:bCs/>
          <w:color w:val="E36C0A" w:themeColor="accent6" w:themeShade="BF"/>
          <w:sz w:val="36"/>
          <w:szCs w:val="36"/>
        </w:rPr>
      </w:pPr>
    </w:p>
    <w:p w:rsidR="00971F34" w:rsidRPr="001466A6" w:rsidRDefault="001466A6" w:rsidP="00A61D80">
      <w:pPr>
        <w:spacing w:after="120" w:line="240" w:lineRule="auto"/>
        <w:rPr>
          <w:rFonts w:cs="Calibri"/>
          <w:b/>
          <w:bCs/>
          <w:sz w:val="32"/>
          <w:szCs w:val="32"/>
        </w:rPr>
      </w:pPr>
      <w:r w:rsidRPr="001466A6">
        <w:rPr>
          <w:rFonts w:cs="Calibri"/>
          <w:b/>
          <w:bCs/>
          <w:sz w:val="32"/>
          <w:szCs w:val="32"/>
        </w:rPr>
        <w:t>Zaključak</w:t>
      </w:r>
      <w:r>
        <w:rPr>
          <w:rFonts w:cs="Calibri"/>
          <w:b/>
          <w:bCs/>
          <w:sz w:val="32"/>
          <w:szCs w:val="32"/>
        </w:rPr>
        <w:t xml:space="preserve">                                                                                    </w:t>
      </w:r>
      <w:r w:rsidRPr="001466A6">
        <w:rPr>
          <w:rFonts w:ascii="Cambria" w:hAnsi="Cambria" w:cs="Calibri"/>
          <w:b/>
          <w:bCs/>
          <w:color w:val="E36C0A" w:themeColor="accent6" w:themeShade="BF"/>
          <w:sz w:val="36"/>
          <w:szCs w:val="36"/>
        </w:rPr>
        <w:t>23</w:t>
      </w:r>
      <w:r w:rsidR="00971F34" w:rsidRPr="001466A6">
        <w:rPr>
          <w:rFonts w:cs="Calibri"/>
          <w:b/>
          <w:bCs/>
          <w:i/>
          <w:sz w:val="32"/>
          <w:szCs w:val="32"/>
        </w:rPr>
        <w:br w:type="page"/>
      </w:r>
      <w:r w:rsidR="00CA0481" w:rsidRPr="001466A6">
        <w:rPr>
          <w:rFonts w:cs="Calibri"/>
          <w:b/>
          <w:bCs/>
          <w:i/>
          <w:sz w:val="32"/>
          <w:szCs w:val="32"/>
        </w:rPr>
        <w:lastRenderedPageBreak/>
        <w:t xml:space="preserve">  </w:t>
      </w:r>
    </w:p>
    <w:p w:rsidR="0089515F" w:rsidRDefault="0089515F" w:rsidP="0089515F">
      <w:pPr>
        <w:widowControl w:val="0"/>
        <w:autoSpaceDE w:val="0"/>
        <w:autoSpaceDN w:val="0"/>
        <w:adjustRightInd w:val="0"/>
        <w:spacing w:after="0" w:line="240" w:lineRule="auto"/>
        <w:jc w:val="center"/>
        <w:rPr>
          <w:rFonts w:ascii="Cambria" w:hAnsi="Cambria" w:cs="Calibri"/>
          <w:b/>
          <w:bCs/>
          <w:sz w:val="40"/>
          <w:szCs w:val="40"/>
        </w:rPr>
      </w:pPr>
    </w:p>
    <w:p w:rsidR="0089515F" w:rsidRDefault="0089515F" w:rsidP="0089515F">
      <w:pPr>
        <w:widowControl w:val="0"/>
        <w:autoSpaceDE w:val="0"/>
        <w:autoSpaceDN w:val="0"/>
        <w:adjustRightInd w:val="0"/>
        <w:spacing w:after="0" w:line="240" w:lineRule="auto"/>
        <w:jc w:val="center"/>
        <w:rPr>
          <w:rFonts w:ascii="Cambria" w:hAnsi="Cambria" w:cs="Calibri"/>
          <w:b/>
          <w:bCs/>
          <w:sz w:val="40"/>
          <w:szCs w:val="40"/>
        </w:rPr>
      </w:pPr>
    </w:p>
    <w:p w:rsidR="0089515F" w:rsidRDefault="0089515F" w:rsidP="0089515F">
      <w:pPr>
        <w:widowControl w:val="0"/>
        <w:autoSpaceDE w:val="0"/>
        <w:autoSpaceDN w:val="0"/>
        <w:adjustRightInd w:val="0"/>
        <w:spacing w:after="0" w:line="240" w:lineRule="auto"/>
        <w:jc w:val="center"/>
        <w:rPr>
          <w:rFonts w:ascii="Cambria" w:hAnsi="Cambria" w:cs="Calibri"/>
          <w:b/>
          <w:bCs/>
          <w:color w:val="E36C0A" w:themeColor="accent6" w:themeShade="BF"/>
          <w:sz w:val="40"/>
          <w:szCs w:val="40"/>
        </w:rPr>
      </w:pPr>
      <w:r w:rsidRPr="0089515F">
        <w:rPr>
          <w:rFonts w:ascii="Cambria" w:hAnsi="Cambria" w:cs="Calibri"/>
          <w:b/>
          <w:bCs/>
          <w:color w:val="E36C0A" w:themeColor="accent6" w:themeShade="BF"/>
          <w:sz w:val="40"/>
          <w:szCs w:val="40"/>
        </w:rPr>
        <w:t>VIZIJA</w:t>
      </w:r>
    </w:p>
    <w:p w:rsidR="00955EF9" w:rsidRDefault="00955EF9" w:rsidP="0089515F">
      <w:pPr>
        <w:widowControl w:val="0"/>
        <w:autoSpaceDE w:val="0"/>
        <w:autoSpaceDN w:val="0"/>
        <w:adjustRightInd w:val="0"/>
        <w:spacing w:after="0" w:line="240" w:lineRule="auto"/>
        <w:jc w:val="center"/>
        <w:rPr>
          <w:rFonts w:ascii="Cambria" w:hAnsi="Cambria" w:cs="Calibri"/>
          <w:b/>
          <w:bCs/>
          <w:color w:val="E36C0A" w:themeColor="accent6" w:themeShade="BF"/>
          <w:sz w:val="40"/>
          <w:szCs w:val="40"/>
        </w:rPr>
      </w:pPr>
    </w:p>
    <w:p w:rsidR="0089515F" w:rsidRPr="000F2C20" w:rsidRDefault="00955EF9" w:rsidP="0089515F">
      <w:pPr>
        <w:widowControl w:val="0"/>
        <w:autoSpaceDE w:val="0"/>
        <w:autoSpaceDN w:val="0"/>
        <w:adjustRightInd w:val="0"/>
        <w:spacing w:after="0" w:line="240" w:lineRule="auto"/>
        <w:jc w:val="center"/>
        <w:rPr>
          <w:rFonts w:ascii="Freestyle Script" w:hAnsi="Freestyle Script"/>
          <w:bCs/>
          <w:sz w:val="40"/>
          <w:szCs w:val="40"/>
        </w:rPr>
      </w:pPr>
      <w:r w:rsidRPr="000F2C20">
        <w:rPr>
          <w:rFonts w:ascii="Freestyle Script" w:hAnsi="Freestyle Script" w:cs="Calibri"/>
          <w:bCs/>
          <w:sz w:val="40"/>
          <w:szCs w:val="40"/>
        </w:rPr>
        <w:t>Dr</w:t>
      </w:r>
      <w:r w:rsidRPr="000F2C20">
        <w:rPr>
          <w:rFonts w:ascii="Times New Roman" w:hAnsi="Times New Roman"/>
          <w:bCs/>
          <w:sz w:val="40"/>
          <w:szCs w:val="40"/>
        </w:rPr>
        <w:t>ž</w:t>
      </w:r>
      <w:r w:rsidRPr="000F2C20">
        <w:rPr>
          <w:rFonts w:ascii="Freestyle Script" w:hAnsi="Freestyle Script" w:cs="Calibri"/>
          <w:bCs/>
          <w:sz w:val="40"/>
          <w:szCs w:val="40"/>
        </w:rPr>
        <w:t>ati korak sa najboljima</w:t>
      </w:r>
      <w:r w:rsidR="00CF6900" w:rsidRPr="000F2C20">
        <w:rPr>
          <w:rFonts w:ascii="Freestyle Script" w:hAnsi="Freestyle Script" w:cs="Calibri"/>
          <w:bCs/>
          <w:sz w:val="40"/>
          <w:szCs w:val="40"/>
        </w:rPr>
        <w:t xml:space="preserve"> oslanjaju</w:t>
      </w:r>
      <w:r w:rsidR="00CF6900" w:rsidRPr="000F2C20">
        <w:rPr>
          <w:rFonts w:ascii="Times New Roman" w:hAnsi="Times New Roman"/>
          <w:bCs/>
          <w:sz w:val="40"/>
          <w:szCs w:val="40"/>
        </w:rPr>
        <w:t>ć</w:t>
      </w:r>
      <w:r w:rsidR="00CF6900" w:rsidRPr="000F2C20">
        <w:rPr>
          <w:rFonts w:ascii="Freestyle Script" w:hAnsi="Freestyle Script"/>
          <w:bCs/>
          <w:sz w:val="40"/>
          <w:szCs w:val="40"/>
        </w:rPr>
        <w:t>i se na dugogodišnju tradiciju, interne potencijale i dinami</w:t>
      </w:r>
      <w:r w:rsidR="00CF6900" w:rsidRPr="000F2C20">
        <w:rPr>
          <w:rFonts w:ascii="Times New Roman" w:hAnsi="Times New Roman"/>
          <w:bCs/>
          <w:sz w:val="40"/>
          <w:szCs w:val="40"/>
        </w:rPr>
        <w:t>č</w:t>
      </w:r>
      <w:r w:rsidR="00CF6900" w:rsidRPr="000F2C20">
        <w:rPr>
          <w:rFonts w:ascii="Freestyle Script" w:hAnsi="Freestyle Script"/>
          <w:bCs/>
          <w:sz w:val="40"/>
          <w:szCs w:val="40"/>
        </w:rPr>
        <w:t>an pristup tr</w:t>
      </w:r>
      <w:r w:rsidR="00CF6900" w:rsidRPr="000F2C20">
        <w:rPr>
          <w:rFonts w:ascii="Times New Roman" w:hAnsi="Times New Roman"/>
          <w:bCs/>
          <w:sz w:val="40"/>
          <w:szCs w:val="40"/>
        </w:rPr>
        <w:t>ž</w:t>
      </w:r>
      <w:r w:rsidR="00CF6900" w:rsidRPr="000F2C20">
        <w:rPr>
          <w:rFonts w:ascii="Freestyle Script" w:hAnsi="Freestyle Script"/>
          <w:bCs/>
          <w:sz w:val="40"/>
          <w:szCs w:val="40"/>
        </w:rPr>
        <w:t>ištu</w:t>
      </w:r>
    </w:p>
    <w:p w:rsidR="0089515F" w:rsidRPr="00955EF9" w:rsidRDefault="0089515F" w:rsidP="0089515F">
      <w:pPr>
        <w:widowControl w:val="0"/>
        <w:autoSpaceDE w:val="0"/>
        <w:autoSpaceDN w:val="0"/>
        <w:adjustRightInd w:val="0"/>
        <w:spacing w:after="0" w:line="240" w:lineRule="auto"/>
        <w:rPr>
          <w:rFonts w:ascii="Lucida Handwriting" w:hAnsi="Lucida Handwriting" w:cs="Calibri"/>
          <w:b/>
          <w:bCs/>
          <w:sz w:val="40"/>
          <w:szCs w:val="40"/>
        </w:rPr>
      </w:pPr>
    </w:p>
    <w:p w:rsidR="0089515F" w:rsidRDefault="0089515F" w:rsidP="0089515F">
      <w:pPr>
        <w:widowControl w:val="0"/>
        <w:autoSpaceDE w:val="0"/>
        <w:autoSpaceDN w:val="0"/>
        <w:adjustRightInd w:val="0"/>
        <w:spacing w:after="0" w:line="240" w:lineRule="auto"/>
        <w:jc w:val="center"/>
        <w:rPr>
          <w:rFonts w:ascii="Cambria" w:hAnsi="Cambria" w:cs="Calibri"/>
          <w:b/>
          <w:bCs/>
          <w:sz w:val="40"/>
          <w:szCs w:val="40"/>
        </w:rPr>
      </w:pPr>
    </w:p>
    <w:p w:rsidR="00A06346" w:rsidRDefault="00A06346" w:rsidP="0089515F">
      <w:pPr>
        <w:widowControl w:val="0"/>
        <w:autoSpaceDE w:val="0"/>
        <w:autoSpaceDN w:val="0"/>
        <w:adjustRightInd w:val="0"/>
        <w:spacing w:after="0" w:line="240" w:lineRule="auto"/>
        <w:jc w:val="center"/>
        <w:rPr>
          <w:rFonts w:ascii="Cambria" w:hAnsi="Cambria" w:cs="Calibri"/>
          <w:b/>
          <w:bCs/>
          <w:sz w:val="40"/>
          <w:szCs w:val="40"/>
        </w:rPr>
      </w:pPr>
    </w:p>
    <w:p w:rsidR="00A06346" w:rsidRDefault="00A06346" w:rsidP="0089515F">
      <w:pPr>
        <w:widowControl w:val="0"/>
        <w:autoSpaceDE w:val="0"/>
        <w:autoSpaceDN w:val="0"/>
        <w:adjustRightInd w:val="0"/>
        <w:spacing w:after="0" w:line="240" w:lineRule="auto"/>
        <w:jc w:val="center"/>
        <w:rPr>
          <w:rFonts w:ascii="Cambria" w:hAnsi="Cambria" w:cs="Calibri"/>
          <w:b/>
          <w:bCs/>
          <w:sz w:val="40"/>
          <w:szCs w:val="40"/>
        </w:rPr>
      </w:pPr>
    </w:p>
    <w:p w:rsidR="0089515F" w:rsidRPr="0089515F" w:rsidRDefault="0089515F" w:rsidP="0089515F">
      <w:pPr>
        <w:widowControl w:val="0"/>
        <w:autoSpaceDE w:val="0"/>
        <w:autoSpaceDN w:val="0"/>
        <w:adjustRightInd w:val="0"/>
        <w:spacing w:after="0" w:line="240" w:lineRule="auto"/>
        <w:jc w:val="center"/>
        <w:rPr>
          <w:rFonts w:ascii="Cambria" w:hAnsi="Cambria" w:cs="Calibri"/>
          <w:b/>
          <w:bCs/>
          <w:color w:val="E36C0A" w:themeColor="accent6" w:themeShade="BF"/>
          <w:sz w:val="40"/>
          <w:szCs w:val="40"/>
        </w:rPr>
      </w:pPr>
      <w:r w:rsidRPr="0089515F">
        <w:rPr>
          <w:rFonts w:ascii="Cambria" w:hAnsi="Cambria" w:cs="Calibri"/>
          <w:b/>
          <w:bCs/>
          <w:color w:val="E36C0A" w:themeColor="accent6" w:themeShade="BF"/>
          <w:sz w:val="40"/>
          <w:szCs w:val="40"/>
        </w:rPr>
        <w:t>MISIJA</w:t>
      </w:r>
    </w:p>
    <w:p w:rsidR="0089515F" w:rsidRDefault="0089515F" w:rsidP="00914132">
      <w:pPr>
        <w:widowControl w:val="0"/>
        <w:autoSpaceDE w:val="0"/>
        <w:autoSpaceDN w:val="0"/>
        <w:adjustRightInd w:val="0"/>
        <w:spacing w:after="0" w:line="240" w:lineRule="auto"/>
        <w:rPr>
          <w:rFonts w:ascii="Cambria" w:hAnsi="Cambria" w:cs="Calibri"/>
          <w:b/>
          <w:bCs/>
          <w:sz w:val="40"/>
          <w:szCs w:val="40"/>
        </w:rPr>
      </w:pPr>
    </w:p>
    <w:p w:rsidR="0089515F" w:rsidRPr="000F2C20" w:rsidRDefault="00CF6900" w:rsidP="0089515F">
      <w:pPr>
        <w:widowControl w:val="0"/>
        <w:autoSpaceDE w:val="0"/>
        <w:autoSpaceDN w:val="0"/>
        <w:adjustRightInd w:val="0"/>
        <w:spacing w:after="0" w:line="240" w:lineRule="auto"/>
        <w:jc w:val="center"/>
        <w:rPr>
          <w:rFonts w:ascii="Freestyle Script" w:hAnsi="Freestyle Script"/>
          <w:b/>
          <w:bCs/>
          <w:sz w:val="40"/>
          <w:szCs w:val="40"/>
        </w:rPr>
      </w:pPr>
      <w:r w:rsidRPr="000F2C20">
        <w:rPr>
          <w:rFonts w:ascii="Freestyle Script" w:hAnsi="Freestyle Script" w:cs="Calibri"/>
          <w:bCs/>
          <w:sz w:val="40"/>
          <w:szCs w:val="40"/>
        </w:rPr>
        <w:t>Osiguranje pozicije na tr</w:t>
      </w:r>
      <w:r w:rsidRPr="000F2C20">
        <w:rPr>
          <w:rFonts w:ascii="Times New Roman" w:hAnsi="Times New Roman"/>
          <w:bCs/>
          <w:sz w:val="40"/>
          <w:szCs w:val="40"/>
        </w:rPr>
        <w:t>ž</w:t>
      </w:r>
      <w:r w:rsidRPr="000F2C20">
        <w:rPr>
          <w:rFonts w:ascii="Freestyle Script" w:hAnsi="Freestyle Script"/>
          <w:bCs/>
          <w:sz w:val="40"/>
          <w:szCs w:val="40"/>
        </w:rPr>
        <w:t>ištu brinu</w:t>
      </w:r>
      <w:r w:rsidRPr="000F2C20">
        <w:rPr>
          <w:rFonts w:ascii="Times New Roman" w:hAnsi="Times New Roman"/>
          <w:bCs/>
          <w:sz w:val="40"/>
          <w:szCs w:val="40"/>
        </w:rPr>
        <w:t>ć</w:t>
      </w:r>
      <w:r w:rsidRPr="000F2C20">
        <w:rPr>
          <w:rFonts w:ascii="Freestyle Script" w:hAnsi="Freestyle Script"/>
          <w:bCs/>
          <w:sz w:val="40"/>
          <w:szCs w:val="40"/>
        </w:rPr>
        <w:t xml:space="preserve">i o zadovoljstvu </w:t>
      </w:r>
      <w:r w:rsidR="00914132" w:rsidRPr="000F2C20">
        <w:rPr>
          <w:rFonts w:ascii="Freestyle Script" w:hAnsi="Freestyle Script"/>
          <w:bCs/>
          <w:sz w:val="40"/>
          <w:szCs w:val="40"/>
        </w:rPr>
        <w:t xml:space="preserve"> </w:t>
      </w:r>
      <w:r w:rsidRPr="000F2C20">
        <w:rPr>
          <w:rFonts w:ascii="Freestyle Script" w:hAnsi="Freestyle Script"/>
          <w:bCs/>
          <w:sz w:val="40"/>
          <w:szCs w:val="40"/>
        </w:rPr>
        <w:t>krajnjih potroša</w:t>
      </w:r>
      <w:r w:rsidRPr="000F2C20">
        <w:rPr>
          <w:rFonts w:ascii="Times New Roman" w:hAnsi="Times New Roman"/>
          <w:bCs/>
          <w:sz w:val="40"/>
          <w:szCs w:val="40"/>
        </w:rPr>
        <w:t>č</w:t>
      </w:r>
      <w:r w:rsidRPr="000F2C20">
        <w:rPr>
          <w:rFonts w:ascii="Freestyle Script" w:hAnsi="Freestyle Script"/>
          <w:bCs/>
          <w:sz w:val="40"/>
          <w:szCs w:val="40"/>
        </w:rPr>
        <w:t>a na na</w:t>
      </w:r>
      <w:r w:rsidRPr="000F2C20">
        <w:rPr>
          <w:rFonts w:ascii="Times New Roman" w:hAnsi="Times New Roman"/>
          <w:bCs/>
          <w:sz w:val="40"/>
          <w:szCs w:val="40"/>
        </w:rPr>
        <w:t>č</w:t>
      </w:r>
      <w:r w:rsidRPr="000F2C20">
        <w:rPr>
          <w:rFonts w:ascii="Freestyle Script" w:hAnsi="Freestyle Script"/>
          <w:bCs/>
          <w:sz w:val="40"/>
          <w:szCs w:val="40"/>
        </w:rPr>
        <w:t xml:space="preserve">in </w:t>
      </w:r>
      <w:r w:rsidR="00914132" w:rsidRPr="000F2C20">
        <w:rPr>
          <w:rFonts w:ascii="Freestyle Script" w:hAnsi="Freestyle Script"/>
          <w:bCs/>
          <w:sz w:val="40"/>
          <w:szCs w:val="40"/>
        </w:rPr>
        <w:t xml:space="preserve">koji </w:t>
      </w:r>
      <w:r w:rsidR="00047987" w:rsidRPr="000F2C20">
        <w:rPr>
          <w:rFonts w:ascii="Freestyle Script" w:hAnsi="Freestyle Script"/>
          <w:bCs/>
          <w:sz w:val="40"/>
          <w:szCs w:val="40"/>
        </w:rPr>
        <w:t xml:space="preserve"> te</w:t>
      </w:r>
      <w:r w:rsidR="00047987" w:rsidRPr="000F2C20">
        <w:rPr>
          <w:rFonts w:ascii="Times New Roman" w:hAnsi="Times New Roman"/>
          <w:bCs/>
          <w:sz w:val="40"/>
          <w:szCs w:val="40"/>
        </w:rPr>
        <w:t>ž</w:t>
      </w:r>
      <w:r w:rsidR="00047987" w:rsidRPr="000F2C20">
        <w:rPr>
          <w:rFonts w:ascii="Freestyle Script" w:hAnsi="Freestyle Script"/>
          <w:bCs/>
          <w:sz w:val="40"/>
          <w:szCs w:val="40"/>
        </w:rPr>
        <w:t xml:space="preserve">i ispunjenju zadanih ciljeva  te </w:t>
      </w:r>
      <w:r w:rsidR="00914132" w:rsidRPr="000F2C20">
        <w:rPr>
          <w:rFonts w:ascii="Freestyle Script" w:hAnsi="Freestyle Script"/>
          <w:bCs/>
          <w:sz w:val="40"/>
          <w:szCs w:val="40"/>
        </w:rPr>
        <w:t>jam</w:t>
      </w:r>
      <w:r w:rsidR="00914132" w:rsidRPr="000F2C20">
        <w:rPr>
          <w:rFonts w:ascii="Times New Roman" w:hAnsi="Times New Roman"/>
          <w:bCs/>
          <w:sz w:val="40"/>
          <w:szCs w:val="40"/>
        </w:rPr>
        <w:t>č</w:t>
      </w:r>
      <w:r w:rsidR="00914132" w:rsidRPr="000F2C20">
        <w:rPr>
          <w:rFonts w:ascii="Freestyle Script" w:hAnsi="Freestyle Script"/>
          <w:bCs/>
          <w:sz w:val="40"/>
          <w:szCs w:val="40"/>
        </w:rPr>
        <w:t xml:space="preserve">i rast </w:t>
      </w:r>
      <w:r w:rsidR="00047987" w:rsidRPr="000F2C20">
        <w:rPr>
          <w:rFonts w:ascii="Freestyle Script" w:hAnsi="Freestyle Script"/>
          <w:bCs/>
          <w:sz w:val="40"/>
          <w:szCs w:val="40"/>
        </w:rPr>
        <w:t>Društva u budu</w:t>
      </w:r>
      <w:r w:rsidR="00047987" w:rsidRPr="000F2C20">
        <w:rPr>
          <w:rFonts w:ascii="Times New Roman" w:hAnsi="Times New Roman"/>
          <w:bCs/>
          <w:sz w:val="40"/>
          <w:szCs w:val="40"/>
        </w:rPr>
        <w:t>ć</w:t>
      </w:r>
      <w:r w:rsidR="00047987" w:rsidRPr="000F2C20">
        <w:rPr>
          <w:rFonts w:ascii="Freestyle Script" w:hAnsi="Freestyle Script"/>
          <w:bCs/>
          <w:sz w:val="40"/>
          <w:szCs w:val="40"/>
        </w:rPr>
        <w:t>nosti</w:t>
      </w:r>
    </w:p>
    <w:p w:rsidR="0089515F" w:rsidRDefault="0089515F" w:rsidP="0089515F">
      <w:pPr>
        <w:widowControl w:val="0"/>
        <w:autoSpaceDE w:val="0"/>
        <w:autoSpaceDN w:val="0"/>
        <w:adjustRightInd w:val="0"/>
        <w:spacing w:after="0" w:line="240" w:lineRule="auto"/>
        <w:jc w:val="center"/>
        <w:rPr>
          <w:rFonts w:ascii="Cambria" w:hAnsi="Cambria" w:cs="Calibri"/>
          <w:b/>
          <w:bCs/>
          <w:sz w:val="40"/>
          <w:szCs w:val="40"/>
        </w:rPr>
      </w:pPr>
    </w:p>
    <w:p w:rsidR="00A06346" w:rsidRDefault="00A06346" w:rsidP="0089515F">
      <w:pPr>
        <w:widowControl w:val="0"/>
        <w:autoSpaceDE w:val="0"/>
        <w:autoSpaceDN w:val="0"/>
        <w:adjustRightInd w:val="0"/>
        <w:spacing w:after="0" w:line="240" w:lineRule="auto"/>
        <w:jc w:val="center"/>
        <w:rPr>
          <w:rFonts w:ascii="Cambria" w:hAnsi="Cambria" w:cs="Calibri"/>
          <w:b/>
          <w:bCs/>
          <w:sz w:val="40"/>
          <w:szCs w:val="40"/>
        </w:rPr>
      </w:pPr>
    </w:p>
    <w:p w:rsidR="0089515F" w:rsidRDefault="0089515F" w:rsidP="0089515F">
      <w:pPr>
        <w:widowControl w:val="0"/>
        <w:autoSpaceDE w:val="0"/>
        <w:autoSpaceDN w:val="0"/>
        <w:adjustRightInd w:val="0"/>
        <w:spacing w:after="0" w:line="240" w:lineRule="auto"/>
        <w:jc w:val="center"/>
        <w:rPr>
          <w:rFonts w:ascii="Cambria" w:hAnsi="Cambria" w:cs="Calibri"/>
          <w:b/>
          <w:bCs/>
          <w:sz w:val="40"/>
          <w:szCs w:val="40"/>
        </w:rPr>
      </w:pPr>
    </w:p>
    <w:p w:rsidR="0089515F" w:rsidRDefault="0089515F" w:rsidP="0089515F">
      <w:pPr>
        <w:widowControl w:val="0"/>
        <w:autoSpaceDE w:val="0"/>
        <w:autoSpaceDN w:val="0"/>
        <w:adjustRightInd w:val="0"/>
        <w:spacing w:after="0" w:line="240" w:lineRule="auto"/>
        <w:jc w:val="center"/>
        <w:rPr>
          <w:rFonts w:ascii="Cambria" w:hAnsi="Cambria" w:cs="Calibri"/>
          <w:b/>
          <w:bCs/>
          <w:sz w:val="40"/>
          <w:szCs w:val="40"/>
        </w:rPr>
      </w:pPr>
    </w:p>
    <w:p w:rsidR="0089515F" w:rsidRPr="0089515F" w:rsidRDefault="0089515F" w:rsidP="0089515F">
      <w:pPr>
        <w:widowControl w:val="0"/>
        <w:autoSpaceDE w:val="0"/>
        <w:autoSpaceDN w:val="0"/>
        <w:adjustRightInd w:val="0"/>
        <w:spacing w:after="0" w:line="240" w:lineRule="auto"/>
        <w:jc w:val="center"/>
        <w:rPr>
          <w:rFonts w:ascii="Cambria" w:hAnsi="Cambria" w:cs="Calibri"/>
          <w:b/>
          <w:bCs/>
          <w:color w:val="E36C0A" w:themeColor="accent6" w:themeShade="BF"/>
          <w:sz w:val="40"/>
          <w:szCs w:val="40"/>
        </w:rPr>
      </w:pPr>
      <w:r w:rsidRPr="0089515F">
        <w:rPr>
          <w:rFonts w:ascii="Cambria" w:hAnsi="Cambria" w:cs="Calibri"/>
          <w:b/>
          <w:bCs/>
          <w:color w:val="E36C0A" w:themeColor="accent6" w:themeShade="BF"/>
          <w:sz w:val="40"/>
          <w:szCs w:val="40"/>
        </w:rPr>
        <w:t>CILJEVI</w:t>
      </w:r>
    </w:p>
    <w:p w:rsidR="0089515F" w:rsidRPr="000F2C20" w:rsidRDefault="0089515F" w:rsidP="0089515F">
      <w:pPr>
        <w:widowControl w:val="0"/>
        <w:autoSpaceDE w:val="0"/>
        <w:autoSpaceDN w:val="0"/>
        <w:adjustRightInd w:val="0"/>
        <w:spacing w:after="0" w:line="240" w:lineRule="auto"/>
        <w:jc w:val="center"/>
        <w:rPr>
          <w:rFonts w:ascii="Freestyle Script" w:hAnsi="Freestyle Script" w:cs="Calibri"/>
          <w:bCs/>
          <w:sz w:val="40"/>
          <w:szCs w:val="40"/>
        </w:rPr>
      </w:pPr>
      <w:r w:rsidRPr="000F2C20">
        <w:rPr>
          <w:rFonts w:ascii="Freestyle Script" w:hAnsi="Freestyle Script" w:cs="Calibri"/>
          <w:bCs/>
          <w:sz w:val="40"/>
          <w:szCs w:val="40"/>
        </w:rPr>
        <w:t>Zadr</w:t>
      </w:r>
      <w:r w:rsidRPr="000F2C20">
        <w:rPr>
          <w:rFonts w:ascii="Times New Roman" w:hAnsi="Times New Roman"/>
          <w:bCs/>
          <w:sz w:val="40"/>
          <w:szCs w:val="40"/>
        </w:rPr>
        <w:t>ž</w:t>
      </w:r>
      <w:r w:rsidRPr="000F2C20">
        <w:rPr>
          <w:rFonts w:ascii="Freestyle Script" w:hAnsi="Freestyle Script" w:cs="Calibri"/>
          <w:bCs/>
          <w:sz w:val="40"/>
          <w:szCs w:val="40"/>
        </w:rPr>
        <w:t>avanje likvidnosti</w:t>
      </w:r>
    </w:p>
    <w:p w:rsidR="0089515F" w:rsidRPr="000F2C20" w:rsidRDefault="00955EF9" w:rsidP="0089515F">
      <w:pPr>
        <w:widowControl w:val="0"/>
        <w:autoSpaceDE w:val="0"/>
        <w:autoSpaceDN w:val="0"/>
        <w:adjustRightInd w:val="0"/>
        <w:spacing w:after="0" w:line="240" w:lineRule="auto"/>
        <w:jc w:val="center"/>
        <w:rPr>
          <w:rFonts w:ascii="Freestyle Script" w:hAnsi="Freestyle Script" w:cs="Calibri"/>
          <w:bCs/>
          <w:sz w:val="40"/>
          <w:szCs w:val="40"/>
        </w:rPr>
      </w:pPr>
      <w:r w:rsidRPr="000F2C20">
        <w:rPr>
          <w:rFonts w:ascii="Freestyle Script" w:hAnsi="Freestyle Script" w:cs="Calibri"/>
          <w:bCs/>
          <w:sz w:val="40"/>
          <w:szCs w:val="40"/>
        </w:rPr>
        <w:t>Daljni rast i razvoj</w:t>
      </w:r>
    </w:p>
    <w:p w:rsidR="00047987" w:rsidRPr="000F2C20" w:rsidRDefault="00047987" w:rsidP="0089515F">
      <w:pPr>
        <w:widowControl w:val="0"/>
        <w:autoSpaceDE w:val="0"/>
        <w:autoSpaceDN w:val="0"/>
        <w:adjustRightInd w:val="0"/>
        <w:spacing w:after="0" w:line="240" w:lineRule="auto"/>
        <w:jc w:val="center"/>
        <w:rPr>
          <w:rFonts w:ascii="Freestyle Script" w:hAnsi="Freestyle Script" w:cs="Calibri"/>
          <w:bCs/>
          <w:sz w:val="40"/>
          <w:szCs w:val="40"/>
        </w:rPr>
      </w:pPr>
      <w:r w:rsidRPr="000F2C20">
        <w:rPr>
          <w:rFonts w:ascii="Freestyle Script" w:hAnsi="Freestyle Script" w:cs="Calibri"/>
          <w:bCs/>
          <w:sz w:val="40"/>
          <w:szCs w:val="40"/>
        </w:rPr>
        <w:t>Kontinuitet investicija</w:t>
      </w:r>
    </w:p>
    <w:p w:rsidR="00047987" w:rsidRPr="000F2C20" w:rsidRDefault="00047987" w:rsidP="0089515F">
      <w:pPr>
        <w:widowControl w:val="0"/>
        <w:autoSpaceDE w:val="0"/>
        <w:autoSpaceDN w:val="0"/>
        <w:adjustRightInd w:val="0"/>
        <w:spacing w:after="0" w:line="240" w:lineRule="auto"/>
        <w:jc w:val="center"/>
        <w:rPr>
          <w:rFonts w:ascii="Freestyle Script" w:hAnsi="Freestyle Script" w:cs="Calibri"/>
          <w:bCs/>
          <w:sz w:val="40"/>
          <w:szCs w:val="40"/>
        </w:rPr>
      </w:pPr>
      <w:r w:rsidRPr="000F2C20">
        <w:rPr>
          <w:rFonts w:ascii="Freestyle Script" w:hAnsi="Freestyle Script" w:cs="Calibri"/>
          <w:bCs/>
          <w:sz w:val="40"/>
          <w:szCs w:val="40"/>
        </w:rPr>
        <w:t>Ulaganje u razvoj zaposlenika</w:t>
      </w:r>
    </w:p>
    <w:p w:rsidR="00047987" w:rsidRPr="0089515F" w:rsidRDefault="00047987" w:rsidP="0089515F">
      <w:pPr>
        <w:widowControl w:val="0"/>
        <w:autoSpaceDE w:val="0"/>
        <w:autoSpaceDN w:val="0"/>
        <w:adjustRightInd w:val="0"/>
        <w:spacing w:after="0" w:line="240" w:lineRule="auto"/>
        <w:jc w:val="center"/>
        <w:rPr>
          <w:rFonts w:ascii="Cambria" w:hAnsi="Cambria" w:cs="Calibri"/>
          <w:b/>
          <w:bCs/>
          <w:sz w:val="40"/>
          <w:szCs w:val="40"/>
        </w:rPr>
      </w:pPr>
    </w:p>
    <w:p w:rsidR="0089515F" w:rsidRDefault="0089515F">
      <w:pPr>
        <w:rPr>
          <w:rFonts w:cs="Calibri"/>
          <w:b/>
          <w:bCs/>
          <w:sz w:val="32"/>
          <w:szCs w:val="32"/>
        </w:rPr>
      </w:pPr>
    </w:p>
    <w:p w:rsidR="0089515F" w:rsidRDefault="0089515F">
      <w:pPr>
        <w:rPr>
          <w:rFonts w:cs="Calibri"/>
          <w:b/>
          <w:bCs/>
          <w:sz w:val="32"/>
          <w:szCs w:val="32"/>
        </w:rPr>
      </w:pPr>
      <w:r>
        <w:rPr>
          <w:rFonts w:cs="Calibri"/>
          <w:b/>
          <w:bCs/>
          <w:sz w:val="32"/>
          <w:szCs w:val="32"/>
        </w:rPr>
        <w:br w:type="page"/>
      </w:r>
    </w:p>
    <w:p w:rsidR="00774FA3" w:rsidRDefault="00774FA3" w:rsidP="00774FA3">
      <w:pPr>
        <w:widowControl w:val="0"/>
        <w:autoSpaceDE w:val="0"/>
        <w:autoSpaceDN w:val="0"/>
        <w:adjustRightInd w:val="0"/>
        <w:spacing w:after="0" w:line="240" w:lineRule="auto"/>
        <w:rPr>
          <w:rFonts w:ascii="Times New Roman" w:hAnsi="Times New Roman"/>
          <w:sz w:val="24"/>
          <w:szCs w:val="24"/>
        </w:rPr>
      </w:pPr>
      <w:r>
        <w:rPr>
          <w:rFonts w:cs="Calibri"/>
          <w:b/>
          <w:bCs/>
          <w:sz w:val="32"/>
          <w:szCs w:val="32"/>
        </w:rPr>
        <w:lastRenderedPageBreak/>
        <w:t>OSVRT UPRAVE NA POSLOVANJE 2015. GODINE</w:t>
      </w:r>
    </w:p>
    <w:p w:rsidR="00774FA3" w:rsidRDefault="00774FA3" w:rsidP="00774FA3">
      <w:pPr>
        <w:widowControl w:val="0"/>
        <w:autoSpaceDE w:val="0"/>
        <w:autoSpaceDN w:val="0"/>
        <w:adjustRightInd w:val="0"/>
        <w:spacing w:after="0" w:line="200" w:lineRule="exact"/>
        <w:rPr>
          <w:rFonts w:ascii="Times New Roman" w:hAnsi="Times New Roman"/>
          <w:sz w:val="24"/>
          <w:szCs w:val="24"/>
        </w:rPr>
      </w:pPr>
    </w:p>
    <w:p w:rsidR="00774FA3" w:rsidRDefault="00774FA3" w:rsidP="00774FA3">
      <w:pPr>
        <w:widowControl w:val="0"/>
        <w:autoSpaceDE w:val="0"/>
        <w:autoSpaceDN w:val="0"/>
        <w:adjustRightInd w:val="0"/>
        <w:spacing w:after="0" w:line="322" w:lineRule="exact"/>
        <w:rPr>
          <w:rFonts w:ascii="Times New Roman" w:hAnsi="Times New Roman"/>
          <w:sz w:val="24"/>
          <w:szCs w:val="24"/>
        </w:rPr>
      </w:pPr>
    </w:p>
    <w:p w:rsidR="00933A35" w:rsidRDefault="00933A35" w:rsidP="00774FA3">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Nakon financijske analize, Društvo je prethodnu poslovnu godinu završilo ispunjenjem svih zadanih ciljeva na početku razdoblju, tako da se održala ideja o racionalizaciji troškova i korisnim ulaganjima kao glavnim imperativima u poslovanju. </w:t>
      </w:r>
      <w:r w:rsidR="00192BDC">
        <w:rPr>
          <w:rFonts w:ascii="Times New Roman" w:hAnsi="Times New Roman"/>
          <w:sz w:val="24"/>
          <w:szCs w:val="24"/>
        </w:rPr>
        <w:t>Kao i prethodnih godina, v</w:t>
      </w:r>
      <w:r w:rsidRPr="00C40E52">
        <w:rPr>
          <w:rFonts w:ascii="Times New Roman" w:hAnsi="Times New Roman"/>
          <w:sz w:val="24"/>
          <w:szCs w:val="24"/>
        </w:rPr>
        <w:t>išegodišnji ugovori s Hrvatskim cestama, Županijskom upravom za ceste, Gradom Gospić i Općinom Plitvička jezera te godišnji programi rada za tekuću godinu održavaju spomenutu pozitivnost poslovanja, pružaju financijsku sigurnost, omogućuju zadržavanje radnih mjesta te daljnja investiranja u objekte i opremu.</w:t>
      </w:r>
    </w:p>
    <w:p w:rsidR="00774FA3" w:rsidRPr="00C40E52" w:rsidRDefault="00774FA3" w:rsidP="00774FA3">
      <w:pPr>
        <w:widowControl w:val="0"/>
        <w:autoSpaceDE w:val="0"/>
        <w:autoSpaceDN w:val="0"/>
        <w:adjustRightInd w:val="0"/>
        <w:spacing w:after="0" w:line="360" w:lineRule="auto"/>
        <w:jc w:val="both"/>
        <w:rPr>
          <w:rFonts w:ascii="Times New Roman" w:hAnsi="Times New Roman"/>
          <w:sz w:val="24"/>
          <w:szCs w:val="24"/>
        </w:rPr>
      </w:pPr>
    </w:p>
    <w:p w:rsidR="00A06346" w:rsidRDefault="00774FA3" w:rsidP="00774FA3">
      <w:pPr>
        <w:widowControl w:val="0"/>
        <w:overflowPunct w:val="0"/>
        <w:autoSpaceDE w:val="0"/>
        <w:autoSpaceDN w:val="0"/>
        <w:adjustRightInd w:val="0"/>
        <w:spacing w:after="0" w:line="360" w:lineRule="auto"/>
        <w:ind w:right="20"/>
        <w:jc w:val="both"/>
        <w:rPr>
          <w:rFonts w:ascii="Times New Roman" w:hAnsi="Times New Roman"/>
          <w:sz w:val="24"/>
          <w:szCs w:val="24"/>
        </w:rPr>
      </w:pPr>
      <w:r w:rsidRPr="00C40E52">
        <w:rPr>
          <w:rFonts w:ascii="Times New Roman" w:hAnsi="Times New Roman"/>
          <w:sz w:val="24"/>
          <w:szCs w:val="24"/>
        </w:rPr>
        <w:t xml:space="preserve">Vidljivi pomaci ka modernizaciji kao i držanje koraka sa sve zahtjevnijim poslovnim okruženjem ogledaju se kroz razna ulaganja koja je Društvo provelo u prethodnoj godini. </w:t>
      </w:r>
    </w:p>
    <w:p w:rsidR="00774FA3" w:rsidRPr="00C40E52" w:rsidRDefault="00774FA3" w:rsidP="00774FA3">
      <w:pPr>
        <w:widowControl w:val="0"/>
        <w:overflowPunct w:val="0"/>
        <w:autoSpaceDE w:val="0"/>
        <w:autoSpaceDN w:val="0"/>
        <w:adjustRightInd w:val="0"/>
        <w:spacing w:after="0" w:line="360" w:lineRule="auto"/>
        <w:ind w:right="20"/>
        <w:jc w:val="both"/>
        <w:rPr>
          <w:rFonts w:ascii="Times New Roman" w:hAnsi="Times New Roman"/>
          <w:sz w:val="24"/>
          <w:szCs w:val="24"/>
        </w:rPr>
      </w:pPr>
      <w:r w:rsidRPr="00C40E52">
        <w:rPr>
          <w:rFonts w:ascii="Times New Roman" w:hAnsi="Times New Roman"/>
          <w:sz w:val="24"/>
          <w:szCs w:val="24"/>
        </w:rPr>
        <w:t xml:space="preserve">Za kvalitetnije izvršenje radova, za potrebe održavanja cesta, investirano je u nabavu veći broj strojeva od kojih možemo istaknuti dva bagera sa kompletnom opremom za ljetno i zimsko održavanje, snježna freza i posipač kao dio zimske opreme te dvije kranske kosilice kao dio ljetne opreme za traktor. Također su kupljena četiri vozila za potrebe voditelja nadcestarija kao i jedno vozilo Unimog za potrebe vozno-strojnog parka. </w:t>
      </w:r>
    </w:p>
    <w:p w:rsidR="00774FA3" w:rsidRPr="00C40E52" w:rsidRDefault="00774FA3" w:rsidP="00774FA3">
      <w:pPr>
        <w:widowControl w:val="0"/>
        <w:autoSpaceDE w:val="0"/>
        <w:autoSpaceDN w:val="0"/>
        <w:adjustRightInd w:val="0"/>
        <w:spacing w:after="0" w:line="360" w:lineRule="auto"/>
        <w:jc w:val="both"/>
        <w:rPr>
          <w:rFonts w:ascii="Times New Roman" w:hAnsi="Times New Roman"/>
          <w:sz w:val="24"/>
          <w:szCs w:val="24"/>
        </w:rPr>
      </w:pPr>
    </w:p>
    <w:p w:rsidR="00774FA3" w:rsidRDefault="00774FA3" w:rsidP="00774FA3">
      <w:pPr>
        <w:widowControl w:val="0"/>
        <w:autoSpaceDE w:val="0"/>
        <w:autoSpaceDN w:val="0"/>
        <w:adjustRightInd w:val="0"/>
        <w:spacing w:after="0" w:line="360" w:lineRule="auto"/>
        <w:jc w:val="both"/>
        <w:rPr>
          <w:rFonts w:ascii="Times New Roman" w:hAnsi="Times New Roman"/>
          <w:sz w:val="24"/>
          <w:szCs w:val="24"/>
        </w:rPr>
      </w:pPr>
      <w:r w:rsidRPr="00C40E52">
        <w:rPr>
          <w:rFonts w:ascii="Times New Roman" w:hAnsi="Times New Roman"/>
          <w:sz w:val="24"/>
          <w:szCs w:val="24"/>
        </w:rPr>
        <w:t>Kao i u prethodnoj godini, Društvo je i dalje nastavilo sa ulaganjem u znanje svojih zaposlenika, tako da je u 2015. provelo usavršavanje svojih ophodara i inžinjera kako bi što bolje i kvalitenije nastavili sa svojim radom prateći trendove u građevinskom sektoru te time potpomogli napretku Društva za daljni rast i razvoj.</w:t>
      </w:r>
    </w:p>
    <w:p w:rsidR="00A06346" w:rsidRPr="00C40E52" w:rsidRDefault="00A06346" w:rsidP="00774FA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2015. godinu obilježili su i kolektivni pregovori sa socijalnim partnerima, </w:t>
      </w:r>
      <w:r w:rsidR="00822D58">
        <w:rPr>
          <w:rFonts w:ascii="Times New Roman" w:hAnsi="Times New Roman"/>
          <w:sz w:val="24"/>
          <w:szCs w:val="24"/>
        </w:rPr>
        <w:t>implementacija sustava upravljanja kvalitetom i okolišem,kao i kadrovske križaljke u svrhu bolje iskoristivosti ljudskih potencijala.</w:t>
      </w:r>
    </w:p>
    <w:p w:rsidR="00774FA3" w:rsidRPr="00C40E52" w:rsidRDefault="00774FA3" w:rsidP="00774FA3">
      <w:pPr>
        <w:widowControl w:val="0"/>
        <w:autoSpaceDE w:val="0"/>
        <w:autoSpaceDN w:val="0"/>
        <w:adjustRightInd w:val="0"/>
        <w:spacing w:after="0" w:line="360" w:lineRule="auto"/>
        <w:jc w:val="both"/>
        <w:rPr>
          <w:rFonts w:ascii="Times New Roman" w:hAnsi="Times New Roman"/>
          <w:sz w:val="24"/>
          <w:szCs w:val="24"/>
        </w:rPr>
      </w:pPr>
    </w:p>
    <w:p w:rsidR="00192BDC" w:rsidRDefault="00192BDC" w:rsidP="00774FA3">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Na temelju činjeničnog stanja u Društvu, uspoređujući stanje sa prethodnim godinama, vidljivi su pomaci ka izlasku iz krize koja se ponajviše osjetila u sektoru građevine. </w:t>
      </w:r>
      <w:r w:rsidR="009A7355">
        <w:rPr>
          <w:rFonts w:ascii="Times New Roman" w:hAnsi="Times New Roman"/>
          <w:sz w:val="24"/>
          <w:szCs w:val="24"/>
        </w:rPr>
        <w:t>Poslovne p</w:t>
      </w:r>
      <w:r>
        <w:rPr>
          <w:rFonts w:ascii="Times New Roman" w:hAnsi="Times New Roman"/>
          <w:sz w:val="24"/>
          <w:szCs w:val="24"/>
        </w:rPr>
        <w:t>romjene koje su se po</w:t>
      </w:r>
      <w:r w:rsidR="009A7355">
        <w:rPr>
          <w:rFonts w:ascii="Times New Roman" w:hAnsi="Times New Roman"/>
          <w:sz w:val="24"/>
          <w:szCs w:val="24"/>
        </w:rPr>
        <w:t xml:space="preserve">čele događati još uvijek nisu </w:t>
      </w:r>
      <w:r>
        <w:rPr>
          <w:rFonts w:ascii="Times New Roman" w:hAnsi="Times New Roman"/>
          <w:sz w:val="24"/>
          <w:szCs w:val="24"/>
        </w:rPr>
        <w:t xml:space="preserve">uzele </w:t>
      </w:r>
      <w:r w:rsidR="009A7355">
        <w:rPr>
          <w:rFonts w:ascii="Times New Roman" w:hAnsi="Times New Roman"/>
          <w:sz w:val="24"/>
          <w:szCs w:val="24"/>
        </w:rPr>
        <w:t xml:space="preserve">maha u skladu poslovanja prema ekonomskim idealima i načelima, ali Duštvo se vodi vizijom napretka ka najboljem. </w:t>
      </w:r>
    </w:p>
    <w:p w:rsidR="009A7355" w:rsidRDefault="009A7355" w:rsidP="00774FA3">
      <w:pPr>
        <w:widowControl w:val="0"/>
        <w:overflowPunct w:val="0"/>
        <w:autoSpaceDE w:val="0"/>
        <w:autoSpaceDN w:val="0"/>
        <w:adjustRightInd w:val="0"/>
        <w:spacing w:after="0" w:line="360" w:lineRule="auto"/>
        <w:jc w:val="both"/>
        <w:rPr>
          <w:rFonts w:ascii="Times New Roman" w:hAnsi="Times New Roman"/>
          <w:sz w:val="24"/>
          <w:szCs w:val="24"/>
        </w:rPr>
      </w:pPr>
    </w:p>
    <w:p w:rsidR="00774FA3" w:rsidRDefault="00774FA3"/>
    <w:p w:rsidR="00774FA3" w:rsidRDefault="00774FA3"/>
    <w:p w:rsidR="00774FA3" w:rsidRDefault="00774FA3" w:rsidP="00774FA3">
      <w:pPr>
        <w:widowControl w:val="0"/>
        <w:autoSpaceDE w:val="0"/>
        <w:autoSpaceDN w:val="0"/>
        <w:adjustRightInd w:val="0"/>
        <w:spacing w:after="0" w:line="240" w:lineRule="auto"/>
        <w:rPr>
          <w:rFonts w:ascii="Times New Roman" w:hAnsi="Times New Roman"/>
          <w:sz w:val="24"/>
          <w:szCs w:val="24"/>
        </w:rPr>
      </w:pPr>
      <w:r>
        <w:rPr>
          <w:rFonts w:cs="Calibri"/>
          <w:b/>
          <w:bCs/>
          <w:sz w:val="32"/>
          <w:szCs w:val="32"/>
        </w:rPr>
        <w:lastRenderedPageBreak/>
        <w:t>1. OSNOVNI PODACI O DRUŠTVU</w:t>
      </w:r>
    </w:p>
    <w:p w:rsidR="00774FA3" w:rsidRDefault="00774FA3" w:rsidP="00774FA3">
      <w:pPr>
        <w:widowControl w:val="0"/>
        <w:autoSpaceDE w:val="0"/>
        <w:autoSpaceDN w:val="0"/>
        <w:adjustRightInd w:val="0"/>
        <w:spacing w:after="0" w:line="200" w:lineRule="exact"/>
        <w:rPr>
          <w:rFonts w:ascii="Times New Roman" w:hAnsi="Times New Roman"/>
          <w:sz w:val="24"/>
          <w:szCs w:val="24"/>
        </w:rPr>
      </w:pPr>
    </w:p>
    <w:p w:rsidR="00774FA3" w:rsidRDefault="00774FA3" w:rsidP="00774FA3">
      <w:pPr>
        <w:widowControl w:val="0"/>
        <w:autoSpaceDE w:val="0"/>
        <w:autoSpaceDN w:val="0"/>
        <w:adjustRightInd w:val="0"/>
        <w:spacing w:after="0" w:line="226" w:lineRule="exact"/>
        <w:rPr>
          <w:rFonts w:ascii="Times New Roman" w:hAnsi="Times New Roman"/>
          <w:sz w:val="24"/>
          <w:szCs w:val="24"/>
        </w:rPr>
      </w:pPr>
    </w:p>
    <w:p w:rsidR="00774FA3" w:rsidRPr="003E31BB" w:rsidRDefault="00774FA3" w:rsidP="00761552">
      <w:pPr>
        <w:widowControl w:val="0"/>
        <w:overflowPunct w:val="0"/>
        <w:autoSpaceDE w:val="0"/>
        <w:autoSpaceDN w:val="0"/>
        <w:adjustRightInd w:val="0"/>
        <w:spacing w:after="0"/>
        <w:jc w:val="both"/>
        <w:rPr>
          <w:rFonts w:ascii="Times New Roman" w:hAnsi="Times New Roman"/>
          <w:sz w:val="24"/>
          <w:szCs w:val="24"/>
        </w:rPr>
      </w:pPr>
      <w:r w:rsidRPr="003E31BB">
        <w:rPr>
          <w:rFonts w:ascii="Times New Roman" w:hAnsi="Times New Roman"/>
          <w:sz w:val="24"/>
          <w:szCs w:val="24"/>
        </w:rPr>
        <w:t>D</w:t>
      </w:r>
      <w:r w:rsidR="009C6F78">
        <w:rPr>
          <w:rFonts w:ascii="Times New Roman" w:hAnsi="Times New Roman"/>
          <w:sz w:val="24"/>
          <w:szCs w:val="24"/>
        </w:rPr>
        <w:t>ruštvo s ograničenom odgovornošć</w:t>
      </w:r>
      <w:r w:rsidRPr="003E31BB">
        <w:rPr>
          <w:rFonts w:ascii="Times New Roman" w:hAnsi="Times New Roman"/>
          <w:sz w:val="24"/>
          <w:szCs w:val="24"/>
        </w:rPr>
        <w:t>u, Lika ceste, iz Gospića, utemeljeno je Odlukom o osnivanju društva od 31.12.1997. godine upisom u sudski registar Trgovačkog suda u Karlovcu pod brojem upisnika Tt02/107-2., od 02.travnja 2002.godine sa temeljnim kapitalom od 11.000.000,00 kuna.</w:t>
      </w:r>
    </w:p>
    <w:p w:rsidR="00774FA3" w:rsidRPr="003E31BB" w:rsidRDefault="00774FA3" w:rsidP="00761552">
      <w:pPr>
        <w:widowControl w:val="0"/>
        <w:autoSpaceDE w:val="0"/>
        <w:autoSpaceDN w:val="0"/>
        <w:adjustRightInd w:val="0"/>
        <w:spacing w:after="0"/>
        <w:jc w:val="both"/>
        <w:rPr>
          <w:rFonts w:ascii="Times New Roman" w:hAnsi="Times New Roman"/>
          <w:sz w:val="24"/>
          <w:szCs w:val="24"/>
        </w:rPr>
      </w:pPr>
    </w:p>
    <w:p w:rsidR="0040191D" w:rsidRDefault="00774FA3" w:rsidP="00761552">
      <w:pPr>
        <w:widowControl w:val="0"/>
        <w:overflowPunct w:val="0"/>
        <w:autoSpaceDE w:val="0"/>
        <w:autoSpaceDN w:val="0"/>
        <w:adjustRightInd w:val="0"/>
        <w:spacing w:after="0"/>
        <w:jc w:val="both"/>
        <w:rPr>
          <w:rFonts w:ascii="Times New Roman" w:hAnsi="Times New Roman"/>
          <w:sz w:val="24"/>
          <w:szCs w:val="24"/>
        </w:rPr>
      </w:pPr>
      <w:r w:rsidRPr="003E31BB">
        <w:rPr>
          <w:rFonts w:ascii="Times New Roman" w:hAnsi="Times New Roman"/>
          <w:sz w:val="24"/>
          <w:szCs w:val="24"/>
        </w:rPr>
        <w:t xml:space="preserve">Odlukom o privatizaciji Društva na 8.sjednici Županijske skupštine 14.02.2002. godine, utvrđeno je da se </w:t>
      </w:r>
      <w:r w:rsidR="0040191D">
        <w:rPr>
          <w:rFonts w:ascii="Times New Roman" w:hAnsi="Times New Roman"/>
          <w:sz w:val="24"/>
          <w:szCs w:val="24"/>
        </w:rPr>
        <w:t>dio poslovnih udjela</w:t>
      </w:r>
      <w:r w:rsidRPr="003E31BB">
        <w:rPr>
          <w:rFonts w:ascii="Times New Roman" w:hAnsi="Times New Roman"/>
          <w:sz w:val="24"/>
          <w:szCs w:val="24"/>
        </w:rPr>
        <w:t xml:space="preserve">, koje drži Ličko-senjska županija, prenose na zaposlenike Društva. </w:t>
      </w:r>
    </w:p>
    <w:p w:rsidR="0040191D" w:rsidRDefault="00774FA3" w:rsidP="00761552">
      <w:pPr>
        <w:widowControl w:val="0"/>
        <w:overflowPunct w:val="0"/>
        <w:autoSpaceDE w:val="0"/>
        <w:autoSpaceDN w:val="0"/>
        <w:adjustRightInd w:val="0"/>
        <w:spacing w:after="0"/>
        <w:jc w:val="both"/>
        <w:rPr>
          <w:rFonts w:ascii="Times New Roman" w:hAnsi="Times New Roman"/>
          <w:sz w:val="24"/>
          <w:szCs w:val="24"/>
        </w:rPr>
      </w:pPr>
      <w:r w:rsidRPr="003E31BB">
        <w:rPr>
          <w:rFonts w:ascii="Times New Roman" w:hAnsi="Times New Roman"/>
          <w:sz w:val="24"/>
          <w:szCs w:val="24"/>
        </w:rPr>
        <w:t>Međutim,tijekom godina do</w:t>
      </w:r>
      <w:r>
        <w:rPr>
          <w:rFonts w:ascii="Times New Roman" w:hAnsi="Times New Roman"/>
          <w:sz w:val="24"/>
          <w:szCs w:val="24"/>
        </w:rPr>
        <w:t>šlo je do određenih promjena prilikom</w:t>
      </w:r>
      <w:r w:rsidRPr="003E31BB">
        <w:rPr>
          <w:rFonts w:ascii="Times New Roman" w:hAnsi="Times New Roman"/>
          <w:sz w:val="24"/>
          <w:szCs w:val="24"/>
        </w:rPr>
        <w:t xml:space="preserve"> otplate preuzetih poslovnih udjela članova Društva</w:t>
      </w:r>
      <w:r w:rsidR="0040191D">
        <w:rPr>
          <w:rFonts w:ascii="Times New Roman" w:hAnsi="Times New Roman"/>
          <w:sz w:val="24"/>
          <w:szCs w:val="24"/>
        </w:rPr>
        <w:t>, na način da se poslovni udjeli nisu otplaćivali sukladno kupoprodajnom ugovoru. Tijekom 2015.godine, Ličko-senjska županija kao prodavatelj poslovnih udjela, je pokrenula i završila postupak raskida ugovora sa članovima Društva koji nisu ispunjavali odredbe Ugovora o kupoprodaji. Rezultat raskida Ugovora je takav da</w:t>
      </w:r>
      <w:r w:rsidRPr="003E31BB">
        <w:rPr>
          <w:rFonts w:ascii="Times New Roman" w:hAnsi="Times New Roman"/>
          <w:sz w:val="24"/>
          <w:szCs w:val="24"/>
        </w:rPr>
        <w:t xml:space="preserve"> će </w:t>
      </w:r>
      <w:r w:rsidR="0040191D">
        <w:rPr>
          <w:rFonts w:ascii="Times New Roman" w:hAnsi="Times New Roman"/>
          <w:sz w:val="24"/>
          <w:szCs w:val="24"/>
        </w:rPr>
        <w:t>početkom 2016.godine</w:t>
      </w:r>
      <w:r>
        <w:rPr>
          <w:rFonts w:ascii="Times New Roman" w:hAnsi="Times New Roman"/>
          <w:sz w:val="24"/>
          <w:szCs w:val="24"/>
        </w:rPr>
        <w:t>,</w:t>
      </w:r>
      <w:r w:rsidRPr="003E31BB">
        <w:rPr>
          <w:rFonts w:ascii="Times New Roman" w:hAnsi="Times New Roman"/>
          <w:sz w:val="24"/>
          <w:szCs w:val="24"/>
        </w:rPr>
        <w:t xml:space="preserve"> doći do promjena upisa vlasništva nad poslovnim udjelima. </w:t>
      </w:r>
    </w:p>
    <w:p w:rsidR="00774FA3" w:rsidRPr="003E31BB" w:rsidRDefault="00774FA3" w:rsidP="00761552">
      <w:pPr>
        <w:widowControl w:val="0"/>
        <w:overflowPunct w:val="0"/>
        <w:autoSpaceDE w:val="0"/>
        <w:autoSpaceDN w:val="0"/>
        <w:adjustRightInd w:val="0"/>
        <w:spacing w:after="0"/>
        <w:jc w:val="both"/>
        <w:rPr>
          <w:rFonts w:ascii="Times New Roman" w:hAnsi="Times New Roman"/>
          <w:sz w:val="24"/>
          <w:szCs w:val="24"/>
        </w:rPr>
      </w:pPr>
      <w:r w:rsidRPr="003E31BB">
        <w:rPr>
          <w:rFonts w:ascii="Times New Roman" w:hAnsi="Times New Roman"/>
          <w:sz w:val="24"/>
          <w:szCs w:val="24"/>
        </w:rPr>
        <w:t>S obzirom na rezultat izvršenih radnji raskida Ugovora o prodaji udjela u trgovačkom društvu Lika ceste d.o.o. sa članovima Društva radi  prethodno spomenute neotplate udjela i time raskida Ugovora,</w:t>
      </w:r>
      <w:r w:rsidR="009C6F78">
        <w:rPr>
          <w:rFonts w:ascii="Times New Roman" w:hAnsi="Times New Roman"/>
          <w:sz w:val="24"/>
          <w:szCs w:val="24"/>
        </w:rPr>
        <w:t xml:space="preserve"> </w:t>
      </w:r>
      <w:r w:rsidRPr="003E31BB">
        <w:rPr>
          <w:rFonts w:ascii="Times New Roman" w:hAnsi="Times New Roman"/>
          <w:sz w:val="24"/>
          <w:szCs w:val="24"/>
        </w:rPr>
        <w:t xml:space="preserve">Uprava Društva najavljuje promjenu vlasničke strukture u 2016.godini, te će slijedom navedenoga, Ličko-senjska županija postati vlasnik 51,458% temeljnog kapitala, dok će </w:t>
      </w:r>
      <w:r w:rsidR="009926F8">
        <w:rPr>
          <w:rFonts w:ascii="Times New Roman" w:hAnsi="Times New Roman"/>
          <w:sz w:val="24"/>
          <w:szCs w:val="24"/>
        </w:rPr>
        <w:t>ostali članovi</w:t>
      </w:r>
      <w:r>
        <w:rPr>
          <w:rFonts w:ascii="Times New Roman" w:hAnsi="Times New Roman"/>
          <w:sz w:val="24"/>
          <w:szCs w:val="24"/>
        </w:rPr>
        <w:t xml:space="preserve"> obuhvaćati 48,542%-ni udjel.</w:t>
      </w:r>
    </w:p>
    <w:p w:rsidR="00774FA3" w:rsidRPr="003E31BB" w:rsidRDefault="00774FA3" w:rsidP="00761552">
      <w:pPr>
        <w:widowControl w:val="0"/>
        <w:autoSpaceDE w:val="0"/>
        <w:autoSpaceDN w:val="0"/>
        <w:adjustRightInd w:val="0"/>
        <w:spacing w:after="0"/>
        <w:jc w:val="both"/>
        <w:rPr>
          <w:rFonts w:ascii="Times New Roman" w:hAnsi="Times New Roman"/>
          <w:sz w:val="24"/>
          <w:szCs w:val="24"/>
        </w:rPr>
      </w:pPr>
    </w:p>
    <w:p w:rsidR="00774FA3" w:rsidRPr="003E31BB" w:rsidRDefault="00774FA3" w:rsidP="00761552">
      <w:pPr>
        <w:widowControl w:val="0"/>
        <w:overflowPunct w:val="0"/>
        <w:autoSpaceDE w:val="0"/>
        <w:autoSpaceDN w:val="0"/>
        <w:adjustRightInd w:val="0"/>
        <w:spacing w:after="0"/>
        <w:jc w:val="both"/>
        <w:rPr>
          <w:rFonts w:ascii="Times New Roman" w:hAnsi="Times New Roman"/>
          <w:sz w:val="24"/>
          <w:szCs w:val="24"/>
        </w:rPr>
      </w:pPr>
      <w:r w:rsidRPr="003E31BB">
        <w:rPr>
          <w:rFonts w:ascii="Times New Roman" w:hAnsi="Times New Roman"/>
          <w:sz w:val="24"/>
          <w:szCs w:val="24"/>
        </w:rPr>
        <w:t>Prema NKD-u registrirana djelatnost Društva je građenje cesta i autocesta, a bavi se održavanjem i zaštitom državnih te županijskih i lokalnih cesta. Pored osnovne djelatnosti obavlja i druge radove u niskogradnji za jedinice lokalne samouprave te pravne i fizičke osobe na području Ličko senjske županije. Osoba ovlaštena za zast</w:t>
      </w:r>
      <w:r w:rsidR="00176556">
        <w:rPr>
          <w:rFonts w:ascii="Times New Roman" w:hAnsi="Times New Roman"/>
          <w:sz w:val="24"/>
          <w:szCs w:val="24"/>
        </w:rPr>
        <w:t>upanje je direktor Željko Devčić</w:t>
      </w:r>
      <w:r w:rsidRPr="003E31BB">
        <w:rPr>
          <w:rFonts w:ascii="Times New Roman" w:hAnsi="Times New Roman"/>
          <w:sz w:val="24"/>
          <w:szCs w:val="24"/>
        </w:rPr>
        <w:t>, koji Društvo zastupa samostalno i pojedinačno.</w:t>
      </w:r>
    </w:p>
    <w:p w:rsidR="00774FA3" w:rsidRPr="003E31BB" w:rsidRDefault="00774FA3" w:rsidP="00761552">
      <w:pPr>
        <w:widowControl w:val="0"/>
        <w:autoSpaceDE w:val="0"/>
        <w:autoSpaceDN w:val="0"/>
        <w:adjustRightInd w:val="0"/>
        <w:spacing w:after="0"/>
        <w:jc w:val="both"/>
        <w:rPr>
          <w:rFonts w:ascii="Times New Roman" w:hAnsi="Times New Roman"/>
          <w:sz w:val="24"/>
          <w:szCs w:val="24"/>
        </w:rPr>
      </w:pPr>
    </w:p>
    <w:p w:rsidR="00774FA3" w:rsidRPr="003E31BB" w:rsidRDefault="00774FA3" w:rsidP="00761552">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Društvo</w:t>
      </w:r>
      <w:r w:rsidR="00A314FB">
        <w:rPr>
          <w:rFonts w:ascii="Times New Roman" w:hAnsi="Times New Roman"/>
          <w:sz w:val="24"/>
          <w:szCs w:val="24"/>
        </w:rPr>
        <w:t xml:space="preserve"> je 31.12.2015. zapošljavalo 198</w:t>
      </w:r>
      <w:r w:rsidRPr="003E31BB">
        <w:rPr>
          <w:rFonts w:ascii="Times New Roman" w:hAnsi="Times New Roman"/>
          <w:sz w:val="24"/>
          <w:szCs w:val="24"/>
        </w:rPr>
        <w:t xml:space="preserve"> radnika, a tijekom sezone, zbog p</w:t>
      </w:r>
      <w:r>
        <w:rPr>
          <w:rFonts w:ascii="Times New Roman" w:hAnsi="Times New Roman"/>
          <w:sz w:val="24"/>
          <w:szCs w:val="24"/>
        </w:rPr>
        <w:t>oveć</w:t>
      </w:r>
      <w:r w:rsidRPr="003E31BB">
        <w:rPr>
          <w:rFonts w:ascii="Times New Roman" w:hAnsi="Times New Roman"/>
          <w:sz w:val="24"/>
          <w:szCs w:val="24"/>
        </w:rPr>
        <w:t>a</w:t>
      </w:r>
      <w:r w:rsidR="009C6F78">
        <w:rPr>
          <w:rFonts w:ascii="Times New Roman" w:hAnsi="Times New Roman"/>
          <w:sz w:val="24"/>
          <w:szCs w:val="24"/>
        </w:rPr>
        <w:t>nja obujma posla zapošljava 2-3</w:t>
      </w:r>
      <w:r w:rsidRPr="003E31BB">
        <w:rPr>
          <w:rFonts w:ascii="Times New Roman" w:hAnsi="Times New Roman"/>
          <w:sz w:val="24"/>
          <w:szCs w:val="24"/>
        </w:rPr>
        <w:t xml:space="preserve"> % više radnika od prosjeka. Ono što čini glavnu prednost ovoga Društva naspram konkurencije jesu dugogodišnja tradicija održavanja cesta, specijaliziranost u opremi, te samoj organizaciji i dovoljnom broju zaposlenih za kvalitetno obavljanje ugovorenih radova. Sve navedene prednosti nam olakšavaju borbu sa teškom gospodarskom situacijom, visokim cijenama industrijskih mineralnih sirovina te sa ostalim nepovoljnim situacijama iz našeg poslovnog okruženja</w:t>
      </w:r>
      <w:r w:rsidR="009C6F78">
        <w:rPr>
          <w:rFonts w:ascii="Times New Roman" w:hAnsi="Times New Roman"/>
          <w:sz w:val="24"/>
          <w:szCs w:val="24"/>
        </w:rPr>
        <w:t xml:space="preserve">. </w:t>
      </w:r>
    </w:p>
    <w:p w:rsidR="00774FA3" w:rsidRDefault="00774FA3" w:rsidP="00761552">
      <w:pPr>
        <w:jc w:val="both"/>
      </w:pPr>
    </w:p>
    <w:p w:rsidR="00774FA3" w:rsidRDefault="00774FA3" w:rsidP="00761552">
      <w:pPr>
        <w:jc w:val="both"/>
      </w:pPr>
    </w:p>
    <w:p w:rsidR="00774FA3" w:rsidRDefault="00774FA3" w:rsidP="00761552">
      <w:pPr>
        <w:jc w:val="both"/>
      </w:pPr>
    </w:p>
    <w:p w:rsidR="00774FA3" w:rsidRDefault="00774FA3"/>
    <w:p w:rsidR="00774FA3" w:rsidRDefault="00774FA3"/>
    <w:p w:rsidR="00774FA3" w:rsidRDefault="00774FA3" w:rsidP="00774FA3">
      <w:pPr>
        <w:widowControl w:val="0"/>
        <w:autoSpaceDE w:val="0"/>
        <w:autoSpaceDN w:val="0"/>
        <w:adjustRightInd w:val="0"/>
        <w:spacing w:after="0" w:line="240" w:lineRule="auto"/>
        <w:rPr>
          <w:rFonts w:ascii="Times New Roman" w:hAnsi="Times New Roman"/>
          <w:sz w:val="24"/>
          <w:szCs w:val="24"/>
        </w:rPr>
      </w:pPr>
      <w:r>
        <w:rPr>
          <w:rFonts w:cs="Calibri"/>
          <w:sz w:val="32"/>
          <w:szCs w:val="32"/>
        </w:rPr>
        <w:lastRenderedPageBreak/>
        <w:t>Organizacijska shema Lika cesta d.o.o.</w:t>
      </w:r>
    </w:p>
    <w:p w:rsidR="00774FA3" w:rsidRDefault="00774FA3" w:rsidP="00774FA3">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56192" behindDoc="1" locked="0" layoutInCell="0" allowOverlap="1">
            <wp:simplePos x="0" y="0"/>
            <wp:positionH relativeFrom="column">
              <wp:posOffset>149860</wp:posOffset>
            </wp:positionH>
            <wp:positionV relativeFrom="paragraph">
              <wp:posOffset>450215</wp:posOffset>
            </wp:positionV>
            <wp:extent cx="5644515" cy="4853305"/>
            <wp:effectExtent l="1905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644515" cy="4853305"/>
                    </a:xfrm>
                    <a:prstGeom prst="rect">
                      <a:avLst/>
                    </a:prstGeom>
                    <a:noFill/>
                  </pic:spPr>
                </pic:pic>
              </a:graphicData>
            </a:graphic>
          </wp:anchor>
        </w:drawing>
      </w:r>
    </w:p>
    <w:p w:rsidR="00774FA3" w:rsidRDefault="00774FA3" w:rsidP="00774FA3">
      <w:pPr>
        <w:widowControl w:val="0"/>
        <w:autoSpaceDE w:val="0"/>
        <w:autoSpaceDN w:val="0"/>
        <w:adjustRightInd w:val="0"/>
        <w:spacing w:after="0" w:line="200" w:lineRule="exact"/>
        <w:rPr>
          <w:rFonts w:ascii="Times New Roman" w:hAnsi="Times New Roman"/>
          <w:sz w:val="24"/>
          <w:szCs w:val="24"/>
        </w:rPr>
      </w:pPr>
    </w:p>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774FA3" w:rsidRDefault="00774FA3"/>
    <w:p w:rsidR="00497AE5" w:rsidRDefault="00497AE5"/>
    <w:p w:rsidR="00497AE5" w:rsidRDefault="00497AE5"/>
    <w:p w:rsidR="00497AE5" w:rsidRDefault="00497AE5"/>
    <w:p w:rsidR="00774FA3" w:rsidRDefault="00774FA3"/>
    <w:p w:rsidR="00774FA3" w:rsidRDefault="00774FA3" w:rsidP="00774FA3">
      <w:pPr>
        <w:widowControl w:val="0"/>
        <w:autoSpaceDE w:val="0"/>
        <w:autoSpaceDN w:val="0"/>
        <w:adjustRightInd w:val="0"/>
        <w:spacing w:after="0" w:line="240" w:lineRule="auto"/>
        <w:rPr>
          <w:rFonts w:ascii="Times New Roman" w:hAnsi="Times New Roman"/>
          <w:sz w:val="24"/>
          <w:szCs w:val="24"/>
        </w:rPr>
      </w:pPr>
      <w:r>
        <w:rPr>
          <w:rFonts w:cs="Calibri"/>
          <w:b/>
          <w:bCs/>
          <w:sz w:val="32"/>
          <w:szCs w:val="32"/>
        </w:rPr>
        <w:lastRenderedPageBreak/>
        <w:t>1.1.  Ljudski resursi</w:t>
      </w:r>
    </w:p>
    <w:p w:rsidR="00774FA3" w:rsidRDefault="00774FA3" w:rsidP="00774FA3">
      <w:pPr>
        <w:widowControl w:val="0"/>
        <w:autoSpaceDE w:val="0"/>
        <w:autoSpaceDN w:val="0"/>
        <w:adjustRightInd w:val="0"/>
        <w:spacing w:after="0" w:line="200" w:lineRule="exact"/>
        <w:rPr>
          <w:rFonts w:ascii="Times New Roman" w:hAnsi="Times New Roman"/>
          <w:sz w:val="24"/>
          <w:szCs w:val="24"/>
        </w:rPr>
      </w:pPr>
    </w:p>
    <w:p w:rsidR="00774FA3" w:rsidRDefault="00774FA3" w:rsidP="00774FA3">
      <w:pPr>
        <w:widowControl w:val="0"/>
        <w:autoSpaceDE w:val="0"/>
        <w:autoSpaceDN w:val="0"/>
        <w:adjustRightInd w:val="0"/>
        <w:spacing w:after="0" w:line="200" w:lineRule="exact"/>
        <w:rPr>
          <w:rFonts w:ascii="Times New Roman" w:hAnsi="Times New Roman"/>
          <w:sz w:val="24"/>
          <w:szCs w:val="24"/>
        </w:rPr>
      </w:pPr>
    </w:p>
    <w:p w:rsidR="00774FA3" w:rsidRDefault="00774FA3" w:rsidP="00C47CD5">
      <w:pPr>
        <w:spacing w:line="240" w:lineRule="auto"/>
      </w:pPr>
      <w:r w:rsidRPr="00774FA3">
        <w:rPr>
          <w:rFonts w:ascii="Times New Roman" w:hAnsi="Times New Roman"/>
          <w:sz w:val="24"/>
          <w:szCs w:val="24"/>
        </w:rPr>
        <w:t>Društvo je na ko</w:t>
      </w:r>
      <w:r w:rsidR="00B20CF6">
        <w:rPr>
          <w:rFonts w:ascii="Times New Roman" w:hAnsi="Times New Roman"/>
          <w:sz w:val="24"/>
          <w:szCs w:val="24"/>
        </w:rPr>
        <w:t>ncu 2015.godine zapošljavalo 198</w:t>
      </w:r>
      <w:r w:rsidRPr="00774FA3">
        <w:rPr>
          <w:rFonts w:ascii="Times New Roman" w:hAnsi="Times New Roman"/>
          <w:sz w:val="24"/>
          <w:szCs w:val="24"/>
        </w:rPr>
        <w:t xml:space="preserve"> radnika, a prikaz zaposlenih po kvartalima prikazan je grafikonom 1. u nastavku</w:t>
      </w:r>
      <w:r>
        <w:rPr>
          <w:rFonts w:ascii="Times New Roman" w:hAnsi="Times New Roman"/>
        </w:rPr>
        <w:t xml:space="preserve">    </w:t>
      </w:r>
      <w:r w:rsidRPr="00774FA3">
        <w:rPr>
          <w:noProof/>
        </w:rPr>
        <w:drawing>
          <wp:inline distT="0" distB="0" distL="0" distR="0">
            <wp:extent cx="5067300" cy="2095500"/>
            <wp:effectExtent l="0" t="0" r="0" b="0"/>
            <wp:docPr id="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4FA3" w:rsidRDefault="00774FA3" w:rsidP="00774FA3">
      <w:pPr>
        <w:widowControl w:val="0"/>
        <w:autoSpaceDE w:val="0"/>
        <w:autoSpaceDN w:val="0"/>
        <w:adjustRightInd w:val="0"/>
        <w:spacing w:after="0" w:line="240" w:lineRule="auto"/>
        <w:rPr>
          <w:rFonts w:ascii="Times New Roman" w:hAnsi="Times New Roman"/>
          <w:sz w:val="24"/>
          <w:szCs w:val="24"/>
        </w:rPr>
      </w:pPr>
      <w:r>
        <w:rPr>
          <w:rFonts w:cs="Calibri"/>
          <w:b/>
          <w:bCs/>
        </w:rPr>
        <w:t>Grafikon 1. Prikaz broja zaposlenih kvartalno u 2015. godini</w:t>
      </w:r>
    </w:p>
    <w:p w:rsidR="00774FA3" w:rsidRDefault="00774FA3" w:rsidP="00774FA3">
      <w:pPr>
        <w:widowControl w:val="0"/>
        <w:autoSpaceDE w:val="0"/>
        <w:autoSpaceDN w:val="0"/>
        <w:adjustRightInd w:val="0"/>
        <w:spacing w:after="0" w:line="318" w:lineRule="exact"/>
        <w:rPr>
          <w:rFonts w:ascii="Times New Roman" w:hAnsi="Times New Roman"/>
          <w:sz w:val="24"/>
          <w:szCs w:val="24"/>
        </w:rPr>
      </w:pPr>
    </w:p>
    <w:p w:rsidR="00774FA3" w:rsidRDefault="00774FA3" w:rsidP="00C47CD5">
      <w:pPr>
        <w:widowControl w:val="0"/>
        <w:overflowPunct w:val="0"/>
        <w:autoSpaceDE w:val="0"/>
        <w:autoSpaceDN w:val="0"/>
        <w:adjustRightInd w:val="0"/>
        <w:spacing w:after="0" w:line="240" w:lineRule="auto"/>
        <w:ind w:right="100"/>
        <w:jc w:val="both"/>
        <w:rPr>
          <w:rFonts w:ascii="Times New Roman" w:hAnsi="Times New Roman"/>
          <w:sz w:val="24"/>
          <w:szCs w:val="24"/>
        </w:rPr>
      </w:pPr>
      <w:r w:rsidRPr="00774FA3">
        <w:rPr>
          <w:rFonts w:ascii="Times New Roman" w:hAnsi="Times New Roman"/>
          <w:sz w:val="24"/>
          <w:szCs w:val="24"/>
        </w:rPr>
        <w:t xml:space="preserve">Analizirajući prethodni grafikon, uočavamo oscilacije u broju zaposlenih u Društvu što je prvenstveno u ovisnosti o obujmu posla. Najveći broj zaposlenih, njih 199, bilo je zaposleno tijekom trećeg kvartala godine tj. tijekom ljetnih mjeseci kada Društvo upošljava dodatni broj radnika. </w:t>
      </w:r>
    </w:p>
    <w:p w:rsidR="009926F8" w:rsidRDefault="009926F8" w:rsidP="00C47CD5">
      <w:pPr>
        <w:widowControl w:val="0"/>
        <w:overflowPunct w:val="0"/>
        <w:autoSpaceDE w:val="0"/>
        <w:autoSpaceDN w:val="0"/>
        <w:adjustRightInd w:val="0"/>
        <w:spacing w:after="0" w:line="240" w:lineRule="auto"/>
        <w:ind w:right="100"/>
        <w:jc w:val="both"/>
        <w:rPr>
          <w:rFonts w:ascii="Times New Roman" w:hAnsi="Times New Roman"/>
          <w:sz w:val="24"/>
          <w:szCs w:val="24"/>
        </w:rPr>
      </w:pPr>
    </w:p>
    <w:p w:rsidR="009926F8" w:rsidRPr="00774FA3" w:rsidRDefault="009926F8" w:rsidP="00C47CD5">
      <w:pPr>
        <w:widowControl w:val="0"/>
        <w:overflowPunct w:val="0"/>
        <w:autoSpaceDE w:val="0"/>
        <w:autoSpaceDN w:val="0"/>
        <w:adjustRightInd w:val="0"/>
        <w:spacing w:after="0" w:line="240" w:lineRule="auto"/>
        <w:ind w:right="100"/>
        <w:jc w:val="both"/>
        <w:rPr>
          <w:rFonts w:ascii="Times New Roman" w:hAnsi="Times New Roman"/>
          <w:sz w:val="24"/>
          <w:szCs w:val="24"/>
        </w:rPr>
      </w:pPr>
    </w:p>
    <w:p w:rsidR="00774FA3" w:rsidRDefault="00774FA3" w:rsidP="00774FA3">
      <w:pPr>
        <w:widowControl w:val="0"/>
        <w:autoSpaceDE w:val="0"/>
        <w:autoSpaceDN w:val="0"/>
        <w:adjustRightInd w:val="0"/>
        <w:spacing w:after="0" w:line="323" w:lineRule="exact"/>
        <w:rPr>
          <w:rFonts w:ascii="Times New Roman" w:hAnsi="Times New Roman"/>
          <w:sz w:val="24"/>
          <w:szCs w:val="24"/>
        </w:rPr>
      </w:pPr>
    </w:p>
    <w:p w:rsidR="00774FA3" w:rsidRPr="003844F4" w:rsidRDefault="00774FA3" w:rsidP="00774FA3">
      <w:pPr>
        <w:widowControl w:val="0"/>
        <w:autoSpaceDE w:val="0"/>
        <w:autoSpaceDN w:val="0"/>
        <w:adjustRightInd w:val="0"/>
        <w:spacing w:after="0" w:line="240" w:lineRule="auto"/>
        <w:rPr>
          <w:rFonts w:ascii="Times New Roman" w:hAnsi="Times New Roman"/>
          <w:b/>
          <w:i/>
          <w:sz w:val="24"/>
          <w:szCs w:val="24"/>
        </w:rPr>
      </w:pPr>
      <w:r w:rsidRPr="003844F4">
        <w:rPr>
          <w:rFonts w:cs="Calibri"/>
          <w:b/>
          <w:i/>
          <w:sz w:val="32"/>
          <w:szCs w:val="32"/>
        </w:rPr>
        <w:t>Kvalifikacijska struktura zaposlenih</w:t>
      </w:r>
    </w:p>
    <w:p w:rsidR="00774FA3" w:rsidRDefault="00774FA3" w:rsidP="00774FA3">
      <w:pPr>
        <w:widowControl w:val="0"/>
        <w:autoSpaceDE w:val="0"/>
        <w:autoSpaceDN w:val="0"/>
        <w:adjustRightInd w:val="0"/>
        <w:spacing w:after="0" w:line="200" w:lineRule="exact"/>
        <w:rPr>
          <w:rFonts w:ascii="Times New Roman" w:hAnsi="Times New Roman"/>
          <w:sz w:val="24"/>
          <w:szCs w:val="24"/>
        </w:rPr>
      </w:pPr>
    </w:p>
    <w:p w:rsidR="00774FA3" w:rsidRDefault="00774FA3" w:rsidP="00774FA3">
      <w:pPr>
        <w:widowControl w:val="0"/>
        <w:autoSpaceDE w:val="0"/>
        <w:autoSpaceDN w:val="0"/>
        <w:adjustRightInd w:val="0"/>
        <w:spacing w:after="0" w:line="226" w:lineRule="exact"/>
        <w:rPr>
          <w:rFonts w:ascii="Times New Roman" w:hAnsi="Times New Roman"/>
          <w:sz w:val="24"/>
          <w:szCs w:val="24"/>
        </w:rPr>
      </w:pPr>
      <w:r w:rsidRPr="001D39F1">
        <w:rPr>
          <w:rFonts w:ascii="Times New Roman" w:hAnsi="Times New Roman"/>
          <w:noProof/>
          <w:sz w:val="24"/>
          <w:szCs w:val="24"/>
        </w:rPr>
        <w:drawing>
          <wp:inline distT="0" distB="0" distL="0" distR="0">
            <wp:extent cx="4457700" cy="2095500"/>
            <wp:effectExtent l="0" t="0" r="0" b="0"/>
            <wp:docPr id="6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4FA3" w:rsidRPr="00774FA3" w:rsidRDefault="00774FA3" w:rsidP="00C47CD5">
      <w:pPr>
        <w:widowControl w:val="0"/>
        <w:overflowPunct w:val="0"/>
        <w:autoSpaceDE w:val="0"/>
        <w:autoSpaceDN w:val="0"/>
        <w:adjustRightInd w:val="0"/>
        <w:spacing w:after="0" w:line="240" w:lineRule="auto"/>
        <w:ind w:right="100"/>
        <w:jc w:val="both"/>
        <w:rPr>
          <w:rFonts w:ascii="Times New Roman" w:hAnsi="Times New Roman"/>
          <w:sz w:val="24"/>
          <w:szCs w:val="24"/>
        </w:rPr>
      </w:pPr>
      <w:r w:rsidRPr="00774FA3">
        <w:rPr>
          <w:rFonts w:ascii="Times New Roman" w:hAnsi="Times New Roman"/>
          <w:sz w:val="24"/>
          <w:szCs w:val="24"/>
        </w:rPr>
        <w:t>Školovanje i edukacija zaposlenih provodi se kontinuirano prema zahtjevima Zakonskih propisa, te zahtjevima samog poslovanja. Kvalifikacijska struktura zaposlenih na 31.12.2015. godine prikazana je u tablici 1. u nastavku.</w:t>
      </w:r>
    </w:p>
    <w:p w:rsidR="00774FA3" w:rsidRDefault="00774FA3"/>
    <w:p w:rsidR="00774FA3" w:rsidRDefault="00774FA3" w:rsidP="00774FA3">
      <w:pPr>
        <w:widowControl w:val="0"/>
        <w:autoSpaceDE w:val="0"/>
        <w:autoSpaceDN w:val="0"/>
        <w:adjustRightInd w:val="0"/>
        <w:spacing w:after="0" w:line="239" w:lineRule="auto"/>
        <w:rPr>
          <w:rFonts w:ascii="Times New Roman" w:hAnsi="Times New Roman"/>
          <w:sz w:val="24"/>
          <w:szCs w:val="24"/>
        </w:rPr>
      </w:pPr>
      <w:r>
        <w:rPr>
          <w:rFonts w:cs="Calibri"/>
          <w:b/>
          <w:bCs/>
        </w:rPr>
        <w:t>Tablica 1. Zaposleni prema stupnju stručnog obrazovanja u 2015. godini</w:t>
      </w:r>
    </w:p>
    <w:tbl>
      <w:tblPr>
        <w:tblW w:w="0" w:type="auto"/>
        <w:tblInd w:w="10" w:type="dxa"/>
        <w:tblLayout w:type="fixed"/>
        <w:tblCellMar>
          <w:left w:w="0" w:type="dxa"/>
          <w:right w:w="0" w:type="dxa"/>
        </w:tblCellMar>
        <w:tblLook w:val="0000" w:firstRow="0" w:lastRow="0" w:firstColumn="0" w:lastColumn="0" w:noHBand="0" w:noVBand="0"/>
      </w:tblPr>
      <w:tblGrid>
        <w:gridCol w:w="100"/>
        <w:gridCol w:w="840"/>
        <w:gridCol w:w="120"/>
        <w:gridCol w:w="100"/>
        <w:gridCol w:w="940"/>
        <w:gridCol w:w="120"/>
        <w:gridCol w:w="100"/>
        <w:gridCol w:w="940"/>
        <w:gridCol w:w="120"/>
        <w:gridCol w:w="100"/>
        <w:gridCol w:w="940"/>
        <w:gridCol w:w="140"/>
        <w:gridCol w:w="80"/>
        <w:gridCol w:w="940"/>
        <w:gridCol w:w="140"/>
        <w:gridCol w:w="80"/>
        <w:gridCol w:w="960"/>
        <w:gridCol w:w="120"/>
        <w:gridCol w:w="80"/>
        <w:gridCol w:w="960"/>
        <w:gridCol w:w="120"/>
        <w:gridCol w:w="80"/>
        <w:gridCol w:w="960"/>
        <w:gridCol w:w="120"/>
        <w:gridCol w:w="30"/>
      </w:tblGrid>
      <w:tr w:rsidR="00774FA3" w:rsidRPr="00481167" w:rsidTr="00933A35">
        <w:trPr>
          <w:trHeight w:val="46"/>
        </w:trPr>
        <w:tc>
          <w:tcPr>
            <w:tcW w:w="100" w:type="dxa"/>
            <w:tcBorders>
              <w:top w:val="single" w:sz="8" w:space="0" w:color="auto"/>
              <w:left w:val="single" w:sz="8" w:space="0" w:color="auto"/>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840" w:type="dxa"/>
            <w:vMerge w:val="restart"/>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b/>
                <w:bCs/>
                <w:color w:val="FFFFFF"/>
              </w:rPr>
              <w:t>Stručna</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100" w:type="dxa"/>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940" w:type="dxa"/>
            <w:vMerge w:val="restart"/>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ind w:left="300"/>
              <w:rPr>
                <w:rFonts w:ascii="Times New Roman" w:hAnsi="Times New Roman"/>
                <w:sz w:val="24"/>
                <w:szCs w:val="24"/>
              </w:rPr>
            </w:pPr>
            <w:r w:rsidRPr="00481167">
              <w:rPr>
                <w:rFonts w:cs="Calibri"/>
                <w:b/>
                <w:bCs/>
                <w:color w:val="FFFFFF"/>
              </w:rPr>
              <w:t>VSS</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100" w:type="dxa"/>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940" w:type="dxa"/>
            <w:vMerge w:val="restart"/>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ind w:left="300"/>
              <w:rPr>
                <w:rFonts w:ascii="Times New Roman" w:hAnsi="Times New Roman"/>
                <w:sz w:val="24"/>
                <w:szCs w:val="24"/>
              </w:rPr>
            </w:pPr>
            <w:r w:rsidRPr="00481167">
              <w:rPr>
                <w:rFonts w:cs="Calibri"/>
                <w:b/>
                <w:bCs/>
                <w:color w:val="FFFFFF"/>
              </w:rPr>
              <w:t>VŠS</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100" w:type="dxa"/>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940" w:type="dxa"/>
            <w:vMerge w:val="restart"/>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ind w:left="320"/>
              <w:rPr>
                <w:rFonts w:ascii="Times New Roman" w:hAnsi="Times New Roman"/>
                <w:sz w:val="24"/>
                <w:szCs w:val="24"/>
              </w:rPr>
            </w:pPr>
            <w:r w:rsidRPr="00481167">
              <w:rPr>
                <w:rFonts w:cs="Calibri"/>
                <w:b/>
                <w:bCs/>
                <w:color w:val="FFFFFF"/>
              </w:rPr>
              <w:t>SSS</w:t>
            </w:r>
          </w:p>
        </w:tc>
        <w:tc>
          <w:tcPr>
            <w:tcW w:w="140" w:type="dxa"/>
            <w:tcBorders>
              <w:top w:val="single" w:sz="8" w:space="0" w:color="auto"/>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80" w:type="dxa"/>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940" w:type="dxa"/>
            <w:vMerge w:val="restart"/>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ind w:left="280"/>
              <w:rPr>
                <w:rFonts w:ascii="Times New Roman" w:hAnsi="Times New Roman"/>
                <w:sz w:val="24"/>
                <w:szCs w:val="24"/>
              </w:rPr>
            </w:pPr>
            <w:r w:rsidRPr="00481167">
              <w:rPr>
                <w:rFonts w:cs="Calibri"/>
                <w:b/>
                <w:bCs/>
                <w:color w:val="FFFFFF"/>
              </w:rPr>
              <w:t>VKV</w:t>
            </w:r>
          </w:p>
        </w:tc>
        <w:tc>
          <w:tcPr>
            <w:tcW w:w="140" w:type="dxa"/>
            <w:tcBorders>
              <w:top w:val="single" w:sz="8" w:space="0" w:color="auto"/>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80" w:type="dxa"/>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960" w:type="dxa"/>
            <w:vMerge w:val="restart"/>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ind w:left="360"/>
              <w:rPr>
                <w:rFonts w:ascii="Times New Roman" w:hAnsi="Times New Roman"/>
                <w:sz w:val="24"/>
                <w:szCs w:val="24"/>
              </w:rPr>
            </w:pPr>
            <w:r w:rsidRPr="00481167">
              <w:rPr>
                <w:rFonts w:cs="Calibri"/>
                <w:b/>
                <w:bCs/>
                <w:color w:val="FFFFFF"/>
              </w:rPr>
              <w:t>KV</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80" w:type="dxa"/>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960" w:type="dxa"/>
            <w:vMerge w:val="restart"/>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ind w:left="280"/>
              <w:rPr>
                <w:rFonts w:ascii="Times New Roman" w:hAnsi="Times New Roman"/>
                <w:sz w:val="24"/>
                <w:szCs w:val="24"/>
              </w:rPr>
            </w:pPr>
            <w:r w:rsidRPr="00481167">
              <w:rPr>
                <w:rFonts w:cs="Calibri"/>
                <w:b/>
                <w:bCs/>
                <w:color w:val="FFFFFF"/>
              </w:rPr>
              <w:t>NKV</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80" w:type="dxa"/>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960" w:type="dxa"/>
            <w:vMerge w:val="restart"/>
            <w:tcBorders>
              <w:top w:val="single" w:sz="8" w:space="0" w:color="auto"/>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ind w:left="60"/>
              <w:rPr>
                <w:rFonts w:ascii="Times New Roman" w:hAnsi="Times New Roman"/>
                <w:sz w:val="24"/>
                <w:szCs w:val="24"/>
              </w:rPr>
            </w:pPr>
            <w:r w:rsidRPr="00481167">
              <w:rPr>
                <w:rFonts w:cs="Calibri"/>
                <w:b/>
                <w:bCs/>
                <w:color w:val="FFFFFF"/>
              </w:rPr>
              <w:t>UKUPNO</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933A35">
        <w:trPr>
          <w:trHeight w:val="134"/>
        </w:trPr>
        <w:tc>
          <w:tcPr>
            <w:tcW w:w="100" w:type="dxa"/>
            <w:tcBorders>
              <w:top w:val="nil"/>
              <w:left w:val="single" w:sz="8" w:space="0" w:color="auto"/>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8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96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96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96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1"/>
                <w:szCs w:val="11"/>
              </w:rPr>
            </w:pPr>
          </w:p>
        </w:tc>
        <w:tc>
          <w:tcPr>
            <w:tcW w:w="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933A35">
        <w:trPr>
          <w:trHeight w:val="126"/>
        </w:trPr>
        <w:tc>
          <w:tcPr>
            <w:tcW w:w="100" w:type="dxa"/>
            <w:tcBorders>
              <w:top w:val="nil"/>
              <w:left w:val="single" w:sz="8" w:space="0" w:color="auto"/>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8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4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96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96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96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933A35">
        <w:trPr>
          <w:trHeight w:val="140"/>
        </w:trPr>
        <w:tc>
          <w:tcPr>
            <w:tcW w:w="100" w:type="dxa"/>
            <w:tcBorders>
              <w:top w:val="nil"/>
              <w:left w:val="single" w:sz="8" w:space="0" w:color="auto"/>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840" w:type="dxa"/>
            <w:vMerge w:val="restart"/>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w w:val="99"/>
              </w:rPr>
              <w:t>sprema</w:t>
            </w: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4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94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4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96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96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960" w:type="dxa"/>
            <w:vMerge/>
            <w:tcBorders>
              <w:top w:val="nil"/>
              <w:left w:val="nil"/>
              <w:bottom w:val="nil"/>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933A35">
        <w:trPr>
          <w:trHeight w:val="203"/>
        </w:trPr>
        <w:tc>
          <w:tcPr>
            <w:tcW w:w="100" w:type="dxa"/>
            <w:tcBorders>
              <w:top w:val="nil"/>
              <w:left w:val="single" w:sz="8" w:space="0" w:color="auto"/>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840" w:type="dxa"/>
            <w:vMerge/>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94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94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94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single" w:sz="8" w:space="0" w:color="7F7F7F"/>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94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40" w:type="dxa"/>
            <w:tcBorders>
              <w:top w:val="nil"/>
              <w:left w:val="nil"/>
              <w:bottom w:val="single" w:sz="8" w:space="0" w:color="7F7F7F"/>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960" w:type="dxa"/>
            <w:tcBorders>
              <w:top w:val="nil"/>
              <w:left w:val="nil"/>
              <w:bottom w:val="single" w:sz="8" w:space="0" w:color="7F7F7F"/>
              <w:right w:val="nil"/>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933A35">
        <w:trPr>
          <w:trHeight w:val="303"/>
        </w:trPr>
        <w:tc>
          <w:tcPr>
            <w:tcW w:w="100" w:type="dxa"/>
            <w:tcBorders>
              <w:top w:val="single" w:sz="8" w:space="0" w:color="auto"/>
              <w:left w:val="single" w:sz="8" w:space="0" w:color="auto"/>
              <w:bottom w:val="single" w:sz="8" w:space="0" w:color="FF8000"/>
              <w:right w:val="nil"/>
            </w:tcBorders>
            <w:shd w:val="clear" w:color="auto" w:fill="FF8000"/>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840" w:type="dxa"/>
            <w:tcBorders>
              <w:top w:val="single" w:sz="8" w:space="0" w:color="auto"/>
              <w:left w:val="nil"/>
              <w:bottom w:val="single" w:sz="8" w:space="0" w:color="FF8000"/>
              <w:right w:val="nil"/>
            </w:tcBorders>
            <w:shd w:val="clear" w:color="auto" w:fill="FF8000"/>
            <w:vAlign w:val="bottom"/>
          </w:tcPr>
          <w:p w:rsidR="00774FA3" w:rsidRPr="00481167" w:rsidRDefault="00774FA3" w:rsidP="00933A35">
            <w:pPr>
              <w:widowControl w:val="0"/>
              <w:autoSpaceDE w:val="0"/>
              <w:autoSpaceDN w:val="0"/>
              <w:adjustRightInd w:val="0"/>
              <w:spacing w:after="0" w:line="260" w:lineRule="exact"/>
              <w:ind w:right="250"/>
              <w:jc w:val="right"/>
              <w:rPr>
                <w:rFonts w:ascii="Times New Roman" w:hAnsi="Times New Roman"/>
                <w:sz w:val="24"/>
                <w:szCs w:val="24"/>
              </w:rPr>
            </w:pPr>
            <w:r w:rsidRPr="00481167">
              <w:rPr>
                <w:rFonts w:cs="Calibri"/>
              </w:rPr>
              <w:t>0</w:t>
            </w:r>
          </w:p>
        </w:tc>
        <w:tc>
          <w:tcPr>
            <w:tcW w:w="120" w:type="dxa"/>
            <w:tcBorders>
              <w:top w:val="single" w:sz="8" w:space="0" w:color="auto"/>
              <w:left w:val="nil"/>
              <w:bottom w:val="single" w:sz="8" w:space="0" w:color="FF8000"/>
              <w:right w:val="single" w:sz="8" w:space="0" w:color="auto"/>
            </w:tcBorders>
            <w:shd w:val="clear" w:color="auto" w:fill="FF8000"/>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single" w:sz="8" w:space="0" w:color="FF8000"/>
              <w:right w:val="nil"/>
            </w:tcBorders>
            <w:shd w:val="clear" w:color="auto" w:fill="FF8000"/>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8" w:space="0" w:color="auto"/>
              <w:left w:val="nil"/>
              <w:bottom w:val="single" w:sz="8" w:space="0" w:color="FF8000"/>
              <w:right w:val="nil"/>
            </w:tcBorders>
            <w:shd w:val="clear" w:color="auto" w:fill="FF8000"/>
            <w:vAlign w:val="bottom"/>
          </w:tcPr>
          <w:p w:rsidR="00774FA3" w:rsidRPr="00481167"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1</w:t>
            </w:r>
          </w:p>
        </w:tc>
        <w:tc>
          <w:tcPr>
            <w:tcW w:w="120" w:type="dxa"/>
            <w:tcBorders>
              <w:top w:val="single" w:sz="8" w:space="0" w:color="auto"/>
              <w:left w:val="nil"/>
              <w:bottom w:val="single" w:sz="8" w:space="0" w:color="FF8000"/>
              <w:right w:val="single" w:sz="8" w:space="0" w:color="auto"/>
            </w:tcBorders>
            <w:shd w:val="clear" w:color="auto" w:fill="FF8000"/>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single" w:sz="8" w:space="0" w:color="FF8000"/>
              <w:right w:val="nil"/>
            </w:tcBorders>
            <w:shd w:val="clear" w:color="auto" w:fill="FF8000"/>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8" w:space="0" w:color="auto"/>
              <w:left w:val="nil"/>
              <w:bottom w:val="single" w:sz="8" w:space="0" w:color="FF8000"/>
              <w:right w:val="nil"/>
            </w:tcBorders>
            <w:shd w:val="clear" w:color="auto" w:fill="FF8000"/>
            <w:vAlign w:val="bottom"/>
          </w:tcPr>
          <w:p w:rsidR="00774FA3" w:rsidRPr="00481167"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2</w:t>
            </w:r>
          </w:p>
        </w:tc>
        <w:tc>
          <w:tcPr>
            <w:tcW w:w="120" w:type="dxa"/>
            <w:tcBorders>
              <w:top w:val="single" w:sz="8" w:space="0" w:color="auto"/>
              <w:left w:val="nil"/>
              <w:bottom w:val="single" w:sz="8" w:space="0" w:color="FF8000"/>
              <w:right w:val="single" w:sz="8" w:space="0" w:color="auto"/>
            </w:tcBorders>
            <w:shd w:val="clear" w:color="auto" w:fill="FF8000"/>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single" w:sz="8" w:space="0" w:color="FF8000"/>
              <w:right w:val="nil"/>
            </w:tcBorders>
            <w:shd w:val="clear" w:color="auto" w:fill="FF8000"/>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8" w:space="0" w:color="auto"/>
              <w:left w:val="nil"/>
              <w:bottom w:val="single" w:sz="8" w:space="0" w:color="FF8000"/>
              <w:right w:val="nil"/>
            </w:tcBorders>
            <w:shd w:val="clear" w:color="auto" w:fill="FF8000"/>
            <w:vAlign w:val="bottom"/>
          </w:tcPr>
          <w:p w:rsidR="00774FA3" w:rsidRPr="00481167"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3</w:t>
            </w:r>
          </w:p>
        </w:tc>
        <w:tc>
          <w:tcPr>
            <w:tcW w:w="140" w:type="dxa"/>
            <w:tcBorders>
              <w:top w:val="single" w:sz="8" w:space="0" w:color="auto"/>
              <w:left w:val="nil"/>
              <w:bottom w:val="single" w:sz="8" w:space="0" w:color="FF8000"/>
              <w:right w:val="single" w:sz="8" w:space="0" w:color="auto"/>
            </w:tcBorders>
            <w:shd w:val="clear" w:color="auto" w:fill="FF8000"/>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auto"/>
              <w:left w:val="nil"/>
              <w:bottom w:val="single" w:sz="8" w:space="0" w:color="FF8000"/>
              <w:right w:val="nil"/>
            </w:tcBorders>
            <w:shd w:val="clear" w:color="auto" w:fill="FF8000"/>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8" w:space="0" w:color="auto"/>
              <w:left w:val="nil"/>
              <w:bottom w:val="single" w:sz="8" w:space="0" w:color="FF8000"/>
              <w:right w:val="nil"/>
            </w:tcBorders>
            <w:shd w:val="clear" w:color="auto" w:fill="FF8000"/>
            <w:vAlign w:val="bottom"/>
          </w:tcPr>
          <w:p w:rsidR="00774FA3" w:rsidRPr="00481167"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4</w:t>
            </w:r>
          </w:p>
        </w:tc>
        <w:tc>
          <w:tcPr>
            <w:tcW w:w="140" w:type="dxa"/>
            <w:tcBorders>
              <w:top w:val="single" w:sz="8" w:space="0" w:color="auto"/>
              <w:left w:val="nil"/>
              <w:bottom w:val="single" w:sz="8" w:space="0" w:color="FF8000"/>
              <w:right w:val="single" w:sz="8" w:space="0" w:color="auto"/>
            </w:tcBorders>
            <w:shd w:val="clear" w:color="auto" w:fill="FF8000"/>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auto"/>
              <w:left w:val="nil"/>
              <w:bottom w:val="single" w:sz="8" w:space="0" w:color="FF8000"/>
              <w:right w:val="nil"/>
            </w:tcBorders>
            <w:shd w:val="clear" w:color="auto" w:fill="FF8000"/>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8" w:space="0" w:color="auto"/>
              <w:left w:val="nil"/>
              <w:bottom w:val="single" w:sz="8" w:space="0" w:color="FF8000"/>
              <w:right w:val="nil"/>
            </w:tcBorders>
            <w:shd w:val="clear" w:color="auto" w:fill="FF8000"/>
            <w:vAlign w:val="bottom"/>
          </w:tcPr>
          <w:p w:rsidR="00774FA3" w:rsidRPr="00481167"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5</w:t>
            </w:r>
          </w:p>
        </w:tc>
        <w:tc>
          <w:tcPr>
            <w:tcW w:w="120" w:type="dxa"/>
            <w:tcBorders>
              <w:top w:val="single" w:sz="8" w:space="0" w:color="auto"/>
              <w:left w:val="nil"/>
              <w:bottom w:val="single" w:sz="8" w:space="0" w:color="FF8000"/>
              <w:right w:val="single" w:sz="8" w:space="0" w:color="auto"/>
            </w:tcBorders>
            <w:shd w:val="clear" w:color="auto" w:fill="FF8000"/>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auto"/>
              <w:left w:val="nil"/>
              <w:bottom w:val="single" w:sz="8" w:space="0" w:color="FF8000"/>
              <w:right w:val="nil"/>
            </w:tcBorders>
            <w:shd w:val="clear" w:color="auto" w:fill="FF8000"/>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8" w:space="0" w:color="auto"/>
              <w:left w:val="nil"/>
              <w:bottom w:val="single" w:sz="8" w:space="0" w:color="FF8000"/>
              <w:right w:val="nil"/>
            </w:tcBorders>
            <w:shd w:val="clear" w:color="auto" w:fill="FF8000"/>
            <w:vAlign w:val="bottom"/>
          </w:tcPr>
          <w:p w:rsidR="00774FA3" w:rsidRPr="00481167"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6</w:t>
            </w:r>
          </w:p>
        </w:tc>
        <w:tc>
          <w:tcPr>
            <w:tcW w:w="120" w:type="dxa"/>
            <w:tcBorders>
              <w:top w:val="single" w:sz="8" w:space="0" w:color="auto"/>
              <w:left w:val="nil"/>
              <w:bottom w:val="single" w:sz="8" w:space="0" w:color="FF8000"/>
              <w:right w:val="single" w:sz="8" w:space="0" w:color="auto"/>
            </w:tcBorders>
            <w:shd w:val="clear" w:color="auto" w:fill="FF8000"/>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auto"/>
              <w:left w:val="nil"/>
              <w:bottom w:val="single" w:sz="8" w:space="0" w:color="FF8000"/>
              <w:right w:val="nil"/>
            </w:tcBorders>
            <w:shd w:val="clear" w:color="auto" w:fill="FF8000"/>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8" w:space="0" w:color="auto"/>
              <w:left w:val="nil"/>
              <w:bottom w:val="single" w:sz="8" w:space="0" w:color="FF8000"/>
              <w:right w:val="nil"/>
            </w:tcBorders>
            <w:shd w:val="clear" w:color="auto" w:fill="FF8000"/>
            <w:vAlign w:val="bottom"/>
          </w:tcPr>
          <w:p w:rsidR="00774FA3" w:rsidRPr="00481167"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7 (1+6)</w:t>
            </w:r>
          </w:p>
        </w:tc>
        <w:tc>
          <w:tcPr>
            <w:tcW w:w="120" w:type="dxa"/>
            <w:tcBorders>
              <w:top w:val="single" w:sz="8" w:space="0" w:color="auto"/>
              <w:left w:val="nil"/>
              <w:bottom w:val="single" w:sz="8" w:space="0" w:color="FF8000"/>
              <w:right w:val="single" w:sz="8" w:space="0" w:color="auto"/>
            </w:tcBorders>
            <w:shd w:val="clear" w:color="auto" w:fill="FF8000"/>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933A35">
        <w:trPr>
          <w:trHeight w:val="281"/>
        </w:trPr>
        <w:tc>
          <w:tcPr>
            <w:tcW w:w="100" w:type="dxa"/>
            <w:tcBorders>
              <w:top w:val="single" w:sz="8" w:space="0" w:color="auto"/>
              <w:left w:val="single" w:sz="8" w:space="0" w:color="auto"/>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840" w:type="dxa"/>
            <w:tcBorders>
              <w:top w:val="single" w:sz="8" w:space="0" w:color="auto"/>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9"/>
              </w:rPr>
              <w:t>Ukupno</w:t>
            </w:r>
          </w:p>
        </w:tc>
        <w:tc>
          <w:tcPr>
            <w:tcW w:w="120" w:type="dxa"/>
            <w:tcBorders>
              <w:top w:val="single" w:sz="8" w:space="0" w:color="auto"/>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40" w:type="dxa"/>
            <w:gridSpan w:val="2"/>
            <w:tcBorders>
              <w:top w:val="single" w:sz="8" w:space="0" w:color="auto"/>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ind w:left="10"/>
              <w:jc w:val="center"/>
              <w:rPr>
                <w:rFonts w:ascii="Times New Roman" w:hAnsi="Times New Roman"/>
                <w:sz w:val="24"/>
                <w:szCs w:val="24"/>
              </w:rPr>
            </w:pPr>
            <w:r>
              <w:rPr>
                <w:rFonts w:cs="Calibri"/>
              </w:rPr>
              <w:t>7</w:t>
            </w:r>
          </w:p>
        </w:tc>
        <w:tc>
          <w:tcPr>
            <w:tcW w:w="120" w:type="dxa"/>
            <w:tcBorders>
              <w:top w:val="single" w:sz="8" w:space="0" w:color="auto"/>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40" w:type="dxa"/>
            <w:gridSpan w:val="2"/>
            <w:tcBorders>
              <w:top w:val="single" w:sz="8" w:space="0" w:color="auto"/>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Pr>
                <w:rFonts w:cs="Calibri"/>
                <w:w w:val="98"/>
              </w:rPr>
              <w:t>9</w:t>
            </w:r>
          </w:p>
        </w:tc>
        <w:tc>
          <w:tcPr>
            <w:tcW w:w="120" w:type="dxa"/>
            <w:tcBorders>
              <w:top w:val="single" w:sz="8" w:space="0" w:color="auto"/>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40" w:type="dxa"/>
            <w:gridSpan w:val="2"/>
            <w:tcBorders>
              <w:top w:val="single" w:sz="8" w:space="0" w:color="auto"/>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Pr>
                <w:rFonts w:cs="Calibri"/>
                <w:w w:val="98"/>
              </w:rPr>
              <w:t>88</w:t>
            </w:r>
          </w:p>
        </w:tc>
        <w:tc>
          <w:tcPr>
            <w:tcW w:w="140" w:type="dxa"/>
            <w:tcBorders>
              <w:top w:val="single" w:sz="8" w:space="0" w:color="auto"/>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tcBorders>
              <w:top w:val="single" w:sz="8" w:space="0" w:color="auto"/>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6</w:t>
            </w:r>
          </w:p>
        </w:tc>
        <w:tc>
          <w:tcPr>
            <w:tcW w:w="140" w:type="dxa"/>
            <w:tcBorders>
              <w:top w:val="single" w:sz="8" w:space="0" w:color="auto"/>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40" w:type="dxa"/>
            <w:gridSpan w:val="2"/>
            <w:tcBorders>
              <w:top w:val="single" w:sz="8" w:space="0" w:color="auto"/>
              <w:left w:val="nil"/>
              <w:bottom w:val="nil"/>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Pr>
                <w:rFonts w:cs="Calibri"/>
              </w:rPr>
              <w:t>5</w:t>
            </w:r>
            <w:r w:rsidR="00A314FB">
              <w:rPr>
                <w:rFonts w:cs="Calibri"/>
              </w:rPr>
              <w:t>0</w:t>
            </w:r>
          </w:p>
        </w:tc>
        <w:tc>
          <w:tcPr>
            <w:tcW w:w="120" w:type="dxa"/>
            <w:tcBorders>
              <w:top w:val="single" w:sz="8" w:space="0" w:color="auto"/>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40" w:type="dxa"/>
            <w:gridSpan w:val="2"/>
            <w:tcBorders>
              <w:top w:val="single" w:sz="8" w:space="0" w:color="auto"/>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38</w:t>
            </w:r>
          </w:p>
        </w:tc>
        <w:tc>
          <w:tcPr>
            <w:tcW w:w="120" w:type="dxa"/>
            <w:tcBorders>
              <w:top w:val="single" w:sz="8" w:space="0" w:color="auto"/>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40" w:type="dxa"/>
            <w:gridSpan w:val="2"/>
            <w:tcBorders>
              <w:top w:val="single" w:sz="8" w:space="0" w:color="auto"/>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Pr>
                <w:rFonts w:cs="Calibri"/>
                <w:w w:val="95"/>
              </w:rPr>
              <w:t>19</w:t>
            </w:r>
            <w:r w:rsidR="00A314FB">
              <w:rPr>
                <w:rFonts w:cs="Calibri"/>
                <w:w w:val="95"/>
              </w:rPr>
              <w:t>8</w:t>
            </w:r>
          </w:p>
        </w:tc>
        <w:tc>
          <w:tcPr>
            <w:tcW w:w="120" w:type="dxa"/>
            <w:tcBorders>
              <w:top w:val="single" w:sz="8" w:space="0" w:color="auto"/>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933A35">
        <w:trPr>
          <w:trHeight w:val="40"/>
        </w:trPr>
        <w:tc>
          <w:tcPr>
            <w:tcW w:w="100" w:type="dxa"/>
            <w:tcBorders>
              <w:top w:val="nil"/>
              <w:left w:val="single" w:sz="8" w:space="0" w:color="auto"/>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02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933A35">
        <w:trPr>
          <w:trHeight w:val="274"/>
        </w:trPr>
        <w:tc>
          <w:tcPr>
            <w:tcW w:w="100" w:type="dxa"/>
            <w:tcBorders>
              <w:top w:val="nil"/>
              <w:left w:val="single" w:sz="8" w:space="0" w:color="auto"/>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3"/>
                <w:szCs w:val="23"/>
              </w:rPr>
            </w:pPr>
          </w:p>
        </w:tc>
        <w:tc>
          <w:tcPr>
            <w:tcW w:w="84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Žena</w:t>
            </w:r>
          </w:p>
        </w:tc>
        <w:tc>
          <w:tcPr>
            <w:tcW w:w="120" w:type="dxa"/>
            <w:tcBorders>
              <w:top w:val="nil"/>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3"/>
                <w:szCs w:val="23"/>
              </w:rPr>
            </w:pPr>
          </w:p>
        </w:tc>
        <w:tc>
          <w:tcPr>
            <w:tcW w:w="1040" w:type="dxa"/>
            <w:gridSpan w:val="2"/>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rPr>
              <w:t>2</w:t>
            </w:r>
          </w:p>
        </w:tc>
        <w:tc>
          <w:tcPr>
            <w:tcW w:w="120" w:type="dxa"/>
            <w:tcBorders>
              <w:top w:val="nil"/>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3"/>
                <w:szCs w:val="23"/>
              </w:rPr>
            </w:pPr>
          </w:p>
        </w:tc>
        <w:tc>
          <w:tcPr>
            <w:tcW w:w="1040" w:type="dxa"/>
            <w:gridSpan w:val="2"/>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rPr>
              <w:t>3</w:t>
            </w:r>
          </w:p>
        </w:tc>
        <w:tc>
          <w:tcPr>
            <w:tcW w:w="120" w:type="dxa"/>
            <w:tcBorders>
              <w:top w:val="nil"/>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3"/>
                <w:szCs w:val="23"/>
              </w:rPr>
            </w:pPr>
          </w:p>
        </w:tc>
        <w:tc>
          <w:tcPr>
            <w:tcW w:w="1040" w:type="dxa"/>
            <w:gridSpan w:val="2"/>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rPr>
              <w:t>8</w:t>
            </w:r>
          </w:p>
        </w:tc>
        <w:tc>
          <w:tcPr>
            <w:tcW w:w="140" w:type="dxa"/>
            <w:tcBorders>
              <w:top w:val="nil"/>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3"/>
                <w:szCs w:val="23"/>
              </w:rPr>
            </w:pPr>
          </w:p>
        </w:tc>
        <w:tc>
          <w:tcPr>
            <w:tcW w:w="1020" w:type="dxa"/>
            <w:gridSpan w:val="2"/>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0</w:t>
            </w:r>
          </w:p>
        </w:tc>
        <w:tc>
          <w:tcPr>
            <w:tcW w:w="140" w:type="dxa"/>
            <w:tcBorders>
              <w:top w:val="nil"/>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3"/>
                <w:szCs w:val="23"/>
              </w:rPr>
            </w:pPr>
          </w:p>
        </w:tc>
        <w:tc>
          <w:tcPr>
            <w:tcW w:w="1040" w:type="dxa"/>
            <w:gridSpan w:val="2"/>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0</w:t>
            </w:r>
          </w:p>
        </w:tc>
        <w:tc>
          <w:tcPr>
            <w:tcW w:w="120" w:type="dxa"/>
            <w:tcBorders>
              <w:top w:val="nil"/>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3"/>
                <w:szCs w:val="23"/>
              </w:rPr>
            </w:pPr>
          </w:p>
        </w:tc>
        <w:tc>
          <w:tcPr>
            <w:tcW w:w="1040" w:type="dxa"/>
            <w:gridSpan w:val="2"/>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2</w:t>
            </w:r>
          </w:p>
        </w:tc>
        <w:tc>
          <w:tcPr>
            <w:tcW w:w="120" w:type="dxa"/>
            <w:tcBorders>
              <w:top w:val="nil"/>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3"/>
                <w:szCs w:val="23"/>
              </w:rPr>
            </w:pPr>
          </w:p>
        </w:tc>
        <w:tc>
          <w:tcPr>
            <w:tcW w:w="1040" w:type="dxa"/>
            <w:gridSpan w:val="2"/>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67" w:lineRule="exact"/>
              <w:jc w:val="center"/>
              <w:rPr>
                <w:rFonts w:ascii="Times New Roman" w:hAnsi="Times New Roman"/>
                <w:sz w:val="24"/>
                <w:szCs w:val="24"/>
              </w:rPr>
            </w:pPr>
            <w:r>
              <w:rPr>
                <w:rFonts w:cs="Calibri"/>
              </w:rPr>
              <w:t>15</w:t>
            </w:r>
          </w:p>
        </w:tc>
        <w:tc>
          <w:tcPr>
            <w:tcW w:w="120" w:type="dxa"/>
            <w:tcBorders>
              <w:top w:val="nil"/>
              <w:left w:val="nil"/>
              <w:bottom w:val="nil"/>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933A35">
        <w:trPr>
          <w:trHeight w:val="65"/>
        </w:trPr>
        <w:tc>
          <w:tcPr>
            <w:tcW w:w="940" w:type="dxa"/>
            <w:gridSpan w:val="2"/>
            <w:tcBorders>
              <w:top w:val="nil"/>
              <w:left w:val="single" w:sz="8" w:space="0" w:color="auto"/>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4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02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4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040" w:type="dxa"/>
            <w:gridSpan w:val="2"/>
            <w:tcBorders>
              <w:top w:val="nil"/>
              <w:left w:val="nil"/>
              <w:bottom w:val="single" w:sz="8" w:space="0" w:color="auto"/>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120" w:type="dxa"/>
            <w:tcBorders>
              <w:top w:val="nil"/>
              <w:left w:val="nil"/>
              <w:bottom w:val="single" w:sz="8" w:space="0" w:color="auto"/>
              <w:right w:val="single" w:sz="8" w:space="0" w:color="auto"/>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933A35">
        <w:trPr>
          <w:trHeight w:val="285"/>
        </w:trPr>
        <w:tc>
          <w:tcPr>
            <w:tcW w:w="100" w:type="dxa"/>
            <w:tcBorders>
              <w:top w:val="single" w:sz="8" w:space="0" w:color="F79646"/>
              <w:left w:val="single" w:sz="8" w:space="0" w:color="auto"/>
              <w:bottom w:val="single" w:sz="8" w:space="0" w:color="F79646"/>
              <w:right w:val="nil"/>
            </w:tcBorders>
            <w:shd w:val="clear" w:color="auto" w:fill="F79646"/>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840" w:type="dxa"/>
            <w:tcBorders>
              <w:top w:val="single" w:sz="8" w:space="0" w:color="F79646"/>
              <w:left w:val="nil"/>
              <w:bottom w:val="single" w:sz="8" w:space="0" w:color="F79646"/>
              <w:right w:val="nil"/>
            </w:tcBorders>
            <w:shd w:val="clear" w:color="auto" w:fill="F79646"/>
            <w:vAlign w:val="bottom"/>
          </w:tcPr>
          <w:p w:rsidR="00774FA3" w:rsidRPr="00481167" w:rsidRDefault="00774FA3" w:rsidP="00933A35">
            <w:pPr>
              <w:widowControl w:val="0"/>
              <w:autoSpaceDE w:val="0"/>
              <w:autoSpaceDN w:val="0"/>
              <w:adjustRightInd w:val="0"/>
              <w:spacing w:after="0" w:line="260" w:lineRule="exact"/>
              <w:ind w:right="230"/>
              <w:jc w:val="right"/>
              <w:rPr>
                <w:rFonts w:ascii="Times New Roman" w:hAnsi="Times New Roman"/>
                <w:sz w:val="24"/>
                <w:szCs w:val="24"/>
              </w:rPr>
            </w:pPr>
            <w:r w:rsidRPr="00481167">
              <w:rPr>
                <w:rFonts w:cs="Calibri"/>
                <w:b/>
                <w:bCs/>
              </w:rPr>
              <w:t>%</w:t>
            </w:r>
          </w:p>
        </w:tc>
        <w:tc>
          <w:tcPr>
            <w:tcW w:w="120" w:type="dxa"/>
            <w:tcBorders>
              <w:top w:val="single" w:sz="8" w:space="0" w:color="F79646"/>
              <w:left w:val="nil"/>
              <w:bottom w:val="single" w:sz="8" w:space="0" w:color="F79646"/>
              <w:right w:val="single" w:sz="8" w:space="0" w:color="auto"/>
            </w:tcBorders>
            <w:shd w:val="clear" w:color="auto" w:fill="F79646"/>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F79646"/>
              <w:left w:val="nil"/>
              <w:bottom w:val="single" w:sz="8" w:space="0" w:color="F79646"/>
              <w:right w:val="nil"/>
            </w:tcBorders>
            <w:shd w:val="clear" w:color="auto" w:fill="F79646"/>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8" w:space="0" w:color="F79646"/>
              <w:left w:val="nil"/>
              <w:bottom w:val="single" w:sz="8" w:space="0" w:color="F79646"/>
              <w:right w:val="nil"/>
            </w:tcBorders>
            <w:shd w:val="clear" w:color="auto" w:fill="F79646"/>
            <w:vAlign w:val="bottom"/>
          </w:tcPr>
          <w:p w:rsidR="00774FA3" w:rsidRPr="00774FA3" w:rsidRDefault="00A314FB" w:rsidP="00933A35">
            <w:pPr>
              <w:widowControl w:val="0"/>
              <w:autoSpaceDE w:val="0"/>
              <w:autoSpaceDN w:val="0"/>
              <w:adjustRightInd w:val="0"/>
              <w:spacing w:after="0" w:line="260" w:lineRule="exact"/>
              <w:jc w:val="center"/>
              <w:rPr>
                <w:rFonts w:ascii="Times New Roman" w:hAnsi="Times New Roman"/>
                <w:sz w:val="24"/>
                <w:szCs w:val="24"/>
              </w:rPr>
            </w:pPr>
            <w:r>
              <w:rPr>
                <w:rFonts w:cs="Calibri"/>
                <w:b/>
                <w:bCs/>
                <w:w w:val="99"/>
                <w:sz w:val="24"/>
                <w:szCs w:val="24"/>
              </w:rPr>
              <w:t>3,53</w:t>
            </w:r>
          </w:p>
        </w:tc>
        <w:tc>
          <w:tcPr>
            <w:tcW w:w="120" w:type="dxa"/>
            <w:tcBorders>
              <w:top w:val="single" w:sz="8" w:space="0" w:color="F79646"/>
              <w:left w:val="nil"/>
              <w:bottom w:val="single" w:sz="8" w:space="0" w:color="F79646"/>
              <w:right w:val="single" w:sz="8" w:space="0" w:color="auto"/>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774FA3">
              <w:rPr>
                <w:rFonts w:cs="Calibri"/>
                <w:b/>
                <w:bCs/>
                <w:sz w:val="24"/>
                <w:szCs w:val="24"/>
              </w:rPr>
              <w:t>4,5</w:t>
            </w:r>
            <w:r w:rsidR="00A314FB">
              <w:rPr>
                <w:rFonts w:cs="Calibri"/>
                <w:b/>
                <w:bCs/>
                <w:sz w:val="24"/>
                <w:szCs w:val="24"/>
              </w:rPr>
              <w:t>3</w:t>
            </w:r>
          </w:p>
        </w:tc>
        <w:tc>
          <w:tcPr>
            <w:tcW w:w="120" w:type="dxa"/>
            <w:tcBorders>
              <w:top w:val="single" w:sz="8" w:space="0" w:color="F79646"/>
              <w:left w:val="nil"/>
              <w:bottom w:val="single" w:sz="8" w:space="0" w:color="F79646"/>
              <w:right w:val="single" w:sz="8" w:space="0" w:color="auto"/>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774FA3">
              <w:rPr>
                <w:rFonts w:cs="Calibri"/>
                <w:b/>
                <w:bCs/>
                <w:w w:val="99"/>
                <w:sz w:val="24"/>
                <w:szCs w:val="24"/>
              </w:rPr>
              <w:t>44,</w:t>
            </w:r>
            <w:r w:rsidR="00A314FB">
              <w:rPr>
                <w:rFonts w:cs="Calibri"/>
                <w:b/>
                <w:bCs/>
                <w:w w:val="99"/>
                <w:sz w:val="24"/>
                <w:szCs w:val="24"/>
              </w:rPr>
              <w:t>4</w:t>
            </w:r>
          </w:p>
        </w:tc>
        <w:tc>
          <w:tcPr>
            <w:tcW w:w="140" w:type="dxa"/>
            <w:tcBorders>
              <w:top w:val="single" w:sz="8" w:space="0" w:color="F79646"/>
              <w:left w:val="nil"/>
              <w:bottom w:val="single" w:sz="8" w:space="0" w:color="F79646"/>
              <w:right w:val="single" w:sz="8" w:space="0" w:color="auto"/>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94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774FA3">
              <w:rPr>
                <w:rFonts w:cs="Calibri"/>
                <w:b/>
                <w:bCs/>
                <w:w w:val="99"/>
                <w:sz w:val="24"/>
                <w:szCs w:val="24"/>
              </w:rPr>
              <w:t>3,1</w:t>
            </w:r>
          </w:p>
        </w:tc>
        <w:tc>
          <w:tcPr>
            <w:tcW w:w="140" w:type="dxa"/>
            <w:tcBorders>
              <w:top w:val="single" w:sz="8" w:space="0" w:color="F79646"/>
              <w:left w:val="nil"/>
              <w:bottom w:val="single" w:sz="8" w:space="0" w:color="F79646"/>
              <w:right w:val="single" w:sz="8" w:space="0" w:color="auto"/>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774FA3">
              <w:rPr>
                <w:rFonts w:cs="Calibri"/>
                <w:b/>
                <w:bCs/>
                <w:w w:val="99"/>
                <w:sz w:val="24"/>
                <w:szCs w:val="24"/>
              </w:rPr>
              <w:t>25,</w:t>
            </w:r>
            <w:r w:rsidR="00A314FB">
              <w:rPr>
                <w:rFonts w:cs="Calibri"/>
                <w:b/>
                <w:bCs/>
                <w:w w:val="99"/>
                <w:sz w:val="24"/>
                <w:szCs w:val="24"/>
              </w:rPr>
              <w:t>25</w:t>
            </w:r>
          </w:p>
        </w:tc>
        <w:tc>
          <w:tcPr>
            <w:tcW w:w="120" w:type="dxa"/>
            <w:tcBorders>
              <w:top w:val="single" w:sz="8" w:space="0" w:color="F79646"/>
              <w:left w:val="nil"/>
              <w:bottom w:val="single" w:sz="8" w:space="0" w:color="F79646"/>
              <w:right w:val="single" w:sz="8" w:space="0" w:color="auto"/>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774FA3">
              <w:rPr>
                <w:rFonts w:cs="Calibri"/>
                <w:b/>
                <w:bCs/>
                <w:sz w:val="24"/>
                <w:szCs w:val="24"/>
              </w:rPr>
              <w:t>19,1</w:t>
            </w:r>
            <w:r w:rsidR="00A314FB">
              <w:rPr>
                <w:rFonts w:cs="Calibri"/>
                <w:b/>
                <w:bCs/>
                <w:sz w:val="24"/>
                <w:szCs w:val="24"/>
              </w:rPr>
              <w:t>9</w:t>
            </w:r>
          </w:p>
        </w:tc>
        <w:tc>
          <w:tcPr>
            <w:tcW w:w="120" w:type="dxa"/>
            <w:tcBorders>
              <w:top w:val="single" w:sz="8" w:space="0" w:color="F79646"/>
              <w:left w:val="nil"/>
              <w:bottom w:val="single" w:sz="8" w:space="0" w:color="F79646"/>
              <w:right w:val="single" w:sz="8" w:space="0" w:color="auto"/>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8" w:space="0" w:color="F79646"/>
              <w:left w:val="nil"/>
              <w:bottom w:val="single" w:sz="8" w:space="0" w:color="F79646"/>
              <w:right w:val="nil"/>
            </w:tcBorders>
            <w:shd w:val="clear" w:color="auto" w:fill="F79646"/>
            <w:vAlign w:val="bottom"/>
          </w:tcPr>
          <w:p w:rsidR="00774FA3" w:rsidRPr="00774FA3" w:rsidRDefault="00774FA3" w:rsidP="00933A35">
            <w:pPr>
              <w:widowControl w:val="0"/>
              <w:autoSpaceDE w:val="0"/>
              <w:autoSpaceDN w:val="0"/>
              <w:adjustRightInd w:val="0"/>
              <w:spacing w:after="0" w:line="260" w:lineRule="exact"/>
              <w:jc w:val="center"/>
              <w:rPr>
                <w:rFonts w:ascii="Times New Roman" w:hAnsi="Times New Roman"/>
                <w:sz w:val="24"/>
                <w:szCs w:val="24"/>
              </w:rPr>
            </w:pPr>
            <w:r w:rsidRPr="00774FA3">
              <w:rPr>
                <w:rFonts w:cs="Calibri"/>
                <w:b/>
                <w:bCs/>
                <w:w w:val="97"/>
                <w:sz w:val="24"/>
                <w:szCs w:val="24"/>
              </w:rPr>
              <w:t>100,00</w:t>
            </w:r>
          </w:p>
        </w:tc>
        <w:tc>
          <w:tcPr>
            <w:tcW w:w="120" w:type="dxa"/>
            <w:tcBorders>
              <w:top w:val="single" w:sz="8" w:space="0" w:color="F79646"/>
              <w:left w:val="nil"/>
              <w:bottom w:val="single" w:sz="8" w:space="0" w:color="F79646"/>
              <w:right w:val="single" w:sz="8" w:space="0" w:color="auto"/>
            </w:tcBorders>
            <w:shd w:val="clear" w:color="auto" w:fill="F79646"/>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40" w:lineRule="auto"/>
              <w:rPr>
                <w:rFonts w:ascii="Times New Roman" w:hAnsi="Times New Roman"/>
                <w:sz w:val="2"/>
                <w:szCs w:val="2"/>
              </w:rPr>
            </w:pPr>
          </w:p>
        </w:tc>
      </w:tr>
      <w:tr w:rsidR="00774FA3" w:rsidRPr="00481167" w:rsidTr="00933A35">
        <w:trPr>
          <w:trHeight w:val="20"/>
        </w:trPr>
        <w:tc>
          <w:tcPr>
            <w:tcW w:w="100" w:type="dxa"/>
            <w:tcBorders>
              <w:top w:val="nil"/>
              <w:left w:val="single" w:sz="8" w:space="0" w:color="auto"/>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84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20" w:type="dxa"/>
            <w:tcBorders>
              <w:top w:val="nil"/>
              <w:left w:val="nil"/>
              <w:bottom w:val="nil"/>
              <w:right w:val="single" w:sz="8" w:space="0" w:color="auto"/>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0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94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20" w:type="dxa"/>
            <w:tcBorders>
              <w:top w:val="nil"/>
              <w:left w:val="nil"/>
              <w:bottom w:val="nil"/>
              <w:right w:val="single" w:sz="8" w:space="0" w:color="auto"/>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0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94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20" w:type="dxa"/>
            <w:tcBorders>
              <w:top w:val="nil"/>
              <w:left w:val="nil"/>
              <w:bottom w:val="nil"/>
              <w:right w:val="single" w:sz="8" w:space="0" w:color="auto"/>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0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94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40" w:type="dxa"/>
            <w:tcBorders>
              <w:top w:val="nil"/>
              <w:left w:val="nil"/>
              <w:bottom w:val="nil"/>
              <w:right w:val="single" w:sz="8" w:space="0" w:color="auto"/>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8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94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40" w:type="dxa"/>
            <w:tcBorders>
              <w:top w:val="nil"/>
              <w:left w:val="nil"/>
              <w:bottom w:val="nil"/>
              <w:right w:val="single" w:sz="8" w:space="0" w:color="auto"/>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8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96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20" w:type="dxa"/>
            <w:tcBorders>
              <w:top w:val="nil"/>
              <w:left w:val="nil"/>
              <w:bottom w:val="nil"/>
              <w:right w:val="single" w:sz="8" w:space="0" w:color="auto"/>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8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96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20" w:type="dxa"/>
            <w:tcBorders>
              <w:top w:val="nil"/>
              <w:left w:val="nil"/>
              <w:bottom w:val="nil"/>
              <w:right w:val="single" w:sz="8" w:space="0" w:color="auto"/>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8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960" w:type="dxa"/>
            <w:tcBorders>
              <w:top w:val="nil"/>
              <w:left w:val="nil"/>
              <w:bottom w:val="nil"/>
              <w:right w:val="nil"/>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120" w:type="dxa"/>
            <w:tcBorders>
              <w:top w:val="nil"/>
              <w:left w:val="nil"/>
              <w:bottom w:val="nil"/>
              <w:right w:val="single" w:sz="8" w:space="0" w:color="auto"/>
            </w:tcBorders>
            <w:shd w:val="clear" w:color="auto" w:fill="000000"/>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c>
          <w:tcPr>
            <w:tcW w:w="0" w:type="dxa"/>
            <w:tcBorders>
              <w:top w:val="nil"/>
              <w:left w:val="nil"/>
              <w:bottom w:val="nil"/>
              <w:right w:val="nil"/>
            </w:tcBorders>
            <w:vAlign w:val="bottom"/>
          </w:tcPr>
          <w:p w:rsidR="00774FA3" w:rsidRPr="00481167" w:rsidRDefault="00774FA3" w:rsidP="00933A35">
            <w:pPr>
              <w:widowControl w:val="0"/>
              <w:autoSpaceDE w:val="0"/>
              <w:autoSpaceDN w:val="0"/>
              <w:adjustRightInd w:val="0"/>
              <w:spacing w:after="0" w:line="20" w:lineRule="exact"/>
              <w:rPr>
                <w:rFonts w:ascii="Times New Roman" w:hAnsi="Times New Roman"/>
                <w:sz w:val="2"/>
                <w:szCs w:val="2"/>
              </w:rPr>
            </w:pPr>
          </w:p>
        </w:tc>
      </w:tr>
    </w:tbl>
    <w:p w:rsidR="00774FA3" w:rsidRDefault="00774FA3"/>
    <w:p w:rsidR="00774FA3" w:rsidRDefault="00774FA3" w:rsidP="00C47CD5">
      <w:pPr>
        <w:widowControl w:val="0"/>
        <w:overflowPunct w:val="0"/>
        <w:autoSpaceDE w:val="0"/>
        <w:autoSpaceDN w:val="0"/>
        <w:adjustRightInd w:val="0"/>
        <w:spacing w:after="0" w:line="240" w:lineRule="auto"/>
        <w:ind w:right="100"/>
        <w:jc w:val="both"/>
        <w:rPr>
          <w:rFonts w:ascii="Times New Roman" w:hAnsi="Times New Roman"/>
          <w:sz w:val="24"/>
          <w:szCs w:val="24"/>
        </w:rPr>
      </w:pPr>
      <w:r>
        <w:rPr>
          <w:rFonts w:ascii="Times New Roman" w:hAnsi="Times New Roman"/>
          <w:sz w:val="24"/>
          <w:szCs w:val="24"/>
        </w:rPr>
        <w:t>Iz tablice je razvidno da već</w:t>
      </w:r>
      <w:r w:rsidRPr="00774FA3">
        <w:rPr>
          <w:rFonts w:ascii="Times New Roman" w:hAnsi="Times New Roman"/>
          <w:sz w:val="24"/>
          <w:szCs w:val="24"/>
        </w:rPr>
        <w:t>u stručnu spremu od srednje ima ukupno 8% radnika, dok je kvalificirani i niskokvalificiranih ukupno 47,</w:t>
      </w:r>
      <w:r w:rsidR="00A314FB">
        <w:rPr>
          <w:rFonts w:ascii="Times New Roman" w:hAnsi="Times New Roman"/>
          <w:sz w:val="24"/>
          <w:szCs w:val="24"/>
        </w:rPr>
        <w:t>54</w:t>
      </w:r>
      <w:r w:rsidRPr="00774FA3">
        <w:rPr>
          <w:rFonts w:ascii="Times New Roman" w:hAnsi="Times New Roman"/>
          <w:sz w:val="24"/>
          <w:szCs w:val="24"/>
        </w:rPr>
        <w:t>%, što je rezultat naslijeđene kvalifi</w:t>
      </w:r>
      <w:r w:rsidR="007E0D05">
        <w:rPr>
          <w:rFonts w:ascii="Times New Roman" w:hAnsi="Times New Roman"/>
          <w:sz w:val="24"/>
          <w:szCs w:val="24"/>
        </w:rPr>
        <w:t>kacijske strukture iz prošlosti,ali sa tendencijom rasta ka većem obrazovanju djelatnika.</w:t>
      </w:r>
    </w:p>
    <w:p w:rsidR="003844F4" w:rsidRDefault="003844F4" w:rsidP="00774FA3">
      <w:pPr>
        <w:widowControl w:val="0"/>
        <w:overflowPunct w:val="0"/>
        <w:autoSpaceDE w:val="0"/>
        <w:autoSpaceDN w:val="0"/>
        <w:adjustRightInd w:val="0"/>
        <w:spacing w:after="0"/>
        <w:ind w:right="100"/>
        <w:jc w:val="both"/>
        <w:rPr>
          <w:rFonts w:cs="Calibri"/>
          <w:sz w:val="32"/>
          <w:szCs w:val="32"/>
        </w:rPr>
      </w:pPr>
    </w:p>
    <w:p w:rsidR="00774FA3" w:rsidRPr="003844F4" w:rsidRDefault="00774FA3" w:rsidP="00774FA3">
      <w:pPr>
        <w:widowControl w:val="0"/>
        <w:overflowPunct w:val="0"/>
        <w:autoSpaceDE w:val="0"/>
        <w:autoSpaceDN w:val="0"/>
        <w:adjustRightInd w:val="0"/>
        <w:spacing w:after="0"/>
        <w:ind w:right="100"/>
        <w:jc w:val="both"/>
        <w:rPr>
          <w:rFonts w:ascii="Times New Roman" w:hAnsi="Times New Roman"/>
          <w:b/>
          <w:i/>
          <w:sz w:val="24"/>
          <w:szCs w:val="24"/>
        </w:rPr>
      </w:pPr>
      <w:r w:rsidRPr="003844F4">
        <w:rPr>
          <w:rFonts w:cs="Calibri"/>
          <w:b/>
          <w:i/>
          <w:sz w:val="32"/>
          <w:szCs w:val="32"/>
        </w:rPr>
        <w:lastRenderedPageBreak/>
        <w:t>Zaposleni prema dobnim skupinama</w:t>
      </w:r>
    </w:p>
    <w:p w:rsidR="00774FA3" w:rsidRDefault="00774FA3" w:rsidP="00774FA3">
      <w:pPr>
        <w:widowControl w:val="0"/>
        <w:autoSpaceDE w:val="0"/>
        <w:autoSpaceDN w:val="0"/>
        <w:adjustRightInd w:val="0"/>
        <w:spacing w:after="0" w:line="200" w:lineRule="exact"/>
        <w:rPr>
          <w:rFonts w:ascii="Times New Roman" w:hAnsi="Times New Roman"/>
          <w:sz w:val="24"/>
          <w:szCs w:val="24"/>
        </w:rPr>
      </w:pPr>
    </w:p>
    <w:p w:rsidR="00774FA3" w:rsidRDefault="00774FA3" w:rsidP="00774FA3">
      <w:pPr>
        <w:widowControl w:val="0"/>
        <w:autoSpaceDE w:val="0"/>
        <w:autoSpaceDN w:val="0"/>
        <w:adjustRightInd w:val="0"/>
        <w:spacing w:after="0" w:line="226" w:lineRule="exact"/>
        <w:rPr>
          <w:rFonts w:ascii="Times New Roman" w:hAnsi="Times New Roman"/>
          <w:sz w:val="24"/>
          <w:szCs w:val="24"/>
        </w:rPr>
      </w:pPr>
    </w:p>
    <w:p w:rsidR="00774FA3" w:rsidRPr="00774FA3" w:rsidRDefault="00774FA3" w:rsidP="00C47CD5">
      <w:pPr>
        <w:widowControl w:val="0"/>
        <w:overflowPunct w:val="0"/>
        <w:autoSpaceDE w:val="0"/>
        <w:autoSpaceDN w:val="0"/>
        <w:adjustRightInd w:val="0"/>
        <w:spacing w:after="0" w:line="240" w:lineRule="auto"/>
        <w:ind w:left="40" w:right="920"/>
        <w:jc w:val="both"/>
        <w:rPr>
          <w:rFonts w:ascii="Times New Roman" w:hAnsi="Times New Roman"/>
          <w:sz w:val="24"/>
          <w:szCs w:val="24"/>
        </w:rPr>
      </w:pPr>
      <w:r w:rsidRPr="00774FA3">
        <w:rPr>
          <w:rFonts w:ascii="Times New Roman" w:hAnsi="Times New Roman"/>
          <w:sz w:val="24"/>
          <w:szCs w:val="24"/>
        </w:rPr>
        <w:t>Tablicom br. 2 prikazana je struktura zaposlenih prema starosnim godinama razvrstanim u devet skupina.</w:t>
      </w:r>
    </w:p>
    <w:p w:rsidR="00774FA3" w:rsidRDefault="00774FA3" w:rsidP="00774FA3">
      <w:pPr>
        <w:widowControl w:val="0"/>
        <w:autoSpaceDE w:val="0"/>
        <w:autoSpaceDN w:val="0"/>
        <w:adjustRightInd w:val="0"/>
        <w:spacing w:after="0" w:line="239" w:lineRule="auto"/>
        <w:ind w:left="40"/>
        <w:rPr>
          <w:rFonts w:cs="Calibri"/>
          <w:b/>
          <w:bCs/>
        </w:rPr>
      </w:pPr>
    </w:p>
    <w:p w:rsidR="00774FA3" w:rsidRDefault="00774FA3" w:rsidP="00774FA3">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2. Zaposleni prema starosnim godinama od 2014.-2015. godine</w:t>
      </w:r>
    </w:p>
    <w:tbl>
      <w:tblPr>
        <w:tblpPr w:leftFromText="180" w:rightFromText="180" w:vertAnchor="text" w:horzAnchor="margin" w:tblpXSpec="center" w:tblpY="80"/>
        <w:tblW w:w="0" w:type="auto"/>
        <w:tblLayout w:type="fixed"/>
        <w:tblCellMar>
          <w:left w:w="0" w:type="dxa"/>
          <w:right w:w="0" w:type="dxa"/>
        </w:tblCellMar>
        <w:tblLook w:val="0000" w:firstRow="0" w:lastRow="0" w:firstColumn="0" w:lastColumn="0" w:noHBand="0" w:noVBand="0"/>
      </w:tblPr>
      <w:tblGrid>
        <w:gridCol w:w="100"/>
        <w:gridCol w:w="960"/>
        <w:gridCol w:w="120"/>
        <w:gridCol w:w="100"/>
        <w:gridCol w:w="840"/>
        <w:gridCol w:w="120"/>
        <w:gridCol w:w="100"/>
        <w:gridCol w:w="600"/>
        <w:gridCol w:w="120"/>
        <w:gridCol w:w="100"/>
        <w:gridCol w:w="560"/>
        <w:gridCol w:w="120"/>
        <w:gridCol w:w="30"/>
      </w:tblGrid>
      <w:tr w:rsidR="00774FA3" w:rsidRPr="00481167" w:rsidTr="00774FA3">
        <w:trPr>
          <w:trHeight w:val="304"/>
        </w:trPr>
        <w:tc>
          <w:tcPr>
            <w:tcW w:w="100" w:type="dxa"/>
            <w:tcBorders>
              <w:top w:val="single" w:sz="8" w:space="0" w:color="auto"/>
              <w:left w:val="single" w:sz="8" w:space="0" w:color="auto"/>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60" w:type="dxa"/>
            <w:vMerge w:val="restart"/>
            <w:tcBorders>
              <w:top w:val="single" w:sz="8" w:space="0" w:color="auto"/>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840" w:type="dxa"/>
            <w:tcBorders>
              <w:top w:val="single" w:sz="8" w:space="0" w:color="auto"/>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67" w:lineRule="exact"/>
              <w:ind w:left="80"/>
              <w:rPr>
                <w:rFonts w:ascii="Times New Roman" w:hAnsi="Times New Roman"/>
                <w:sz w:val="24"/>
                <w:szCs w:val="24"/>
              </w:rPr>
            </w:pPr>
            <w:r w:rsidRPr="00481167">
              <w:rPr>
                <w:rFonts w:cs="Calibri"/>
                <w:b/>
                <w:bCs/>
                <w:color w:val="FFFFFF"/>
              </w:rPr>
              <w:t>Godine</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00" w:type="dxa"/>
            <w:vMerge w:val="restart"/>
            <w:tcBorders>
              <w:top w:val="single" w:sz="8" w:space="0" w:color="auto"/>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rPr>
              <w:t>2014</w:t>
            </w:r>
            <w:r w:rsidRPr="00481167">
              <w:rPr>
                <w:rFonts w:cs="Calibri"/>
                <w:b/>
                <w:bCs/>
                <w:color w:val="FFFFFF"/>
              </w:rPr>
              <w:t>.</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560" w:type="dxa"/>
            <w:vMerge w:val="restart"/>
            <w:tcBorders>
              <w:top w:val="single" w:sz="8" w:space="0" w:color="auto"/>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2015</w:t>
            </w:r>
            <w:r w:rsidRPr="00481167">
              <w:rPr>
                <w:rFonts w:cs="Calibri"/>
                <w:b/>
                <w:bCs/>
                <w:color w:val="FFFFFF"/>
                <w:w w:val="98"/>
              </w:rPr>
              <w:t>.</w:t>
            </w:r>
          </w:p>
        </w:tc>
        <w:tc>
          <w:tcPr>
            <w:tcW w:w="120" w:type="dxa"/>
            <w:tcBorders>
              <w:top w:val="single" w:sz="8" w:space="0" w:color="auto"/>
              <w:left w:val="nil"/>
              <w:bottom w:val="nil"/>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134"/>
        </w:trPr>
        <w:tc>
          <w:tcPr>
            <w:tcW w:w="100" w:type="dxa"/>
            <w:tcBorders>
              <w:top w:val="nil"/>
              <w:left w:val="single" w:sz="8" w:space="0" w:color="auto"/>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960" w:type="dxa"/>
            <w:vMerge/>
            <w:tcBorders>
              <w:top w:val="nil"/>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840" w:type="dxa"/>
            <w:vMerge w:val="restart"/>
            <w:tcBorders>
              <w:top w:val="nil"/>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67" w:lineRule="exact"/>
              <w:ind w:left="80"/>
              <w:rPr>
                <w:rFonts w:ascii="Times New Roman" w:hAnsi="Times New Roman"/>
                <w:sz w:val="24"/>
                <w:szCs w:val="24"/>
              </w:rPr>
            </w:pPr>
            <w:r w:rsidRPr="00481167">
              <w:rPr>
                <w:rFonts w:cs="Calibri"/>
                <w:b/>
                <w:bCs/>
                <w:color w:val="FFFFFF"/>
              </w:rPr>
              <w:t>starosti</w:t>
            </w:r>
          </w:p>
        </w:tc>
        <w:tc>
          <w:tcPr>
            <w:tcW w:w="120" w:type="dxa"/>
            <w:tcBorders>
              <w:top w:val="nil"/>
              <w:left w:val="nil"/>
              <w:bottom w:val="nil"/>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600" w:type="dxa"/>
            <w:vMerge/>
            <w:tcBorders>
              <w:top w:val="nil"/>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560" w:type="dxa"/>
            <w:vMerge/>
            <w:tcBorders>
              <w:top w:val="nil"/>
              <w:left w:val="nil"/>
              <w:bottom w:val="nil"/>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209"/>
        </w:trPr>
        <w:tc>
          <w:tcPr>
            <w:tcW w:w="100" w:type="dxa"/>
            <w:tcBorders>
              <w:top w:val="nil"/>
              <w:left w:val="single" w:sz="8" w:space="0" w:color="auto"/>
              <w:bottom w:val="single" w:sz="8" w:space="0" w:color="7F7F7F"/>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7F7F7F"/>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7F7F7F"/>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840" w:type="dxa"/>
            <w:vMerge/>
            <w:tcBorders>
              <w:top w:val="nil"/>
              <w:left w:val="nil"/>
              <w:bottom w:val="single" w:sz="8" w:space="0" w:color="7F7F7F"/>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7F7F7F"/>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600" w:type="dxa"/>
            <w:tcBorders>
              <w:top w:val="nil"/>
              <w:left w:val="nil"/>
              <w:bottom w:val="single" w:sz="8" w:space="0" w:color="7F7F7F"/>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7F7F7F"/>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560" w:type="dxa"/>
            <w:tcBorders>
              <w:top w:val="nil"/>
              <w:left w:val="nil"/>
              <w:bottom w:val="single" w:sz="8" w:space="0" w:color="7F7F7F"/>
              <w:right w:val="nil"/>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7F7F7F"/>
              <w:right w:val="single" w:sz="8" w:space="0" w:color="auto"/>
            </w:tcBorders>
            <w:shd w:val="clear" w:color="auto" w:fill="7F7F7F"/>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305"/>
        </w:trPr>
        <w:tc>
          <w:tcPr>
            <w:tcW w:w="100" w:type="dxa"/>
            <w:tcBorders>
              <w:top w:val="single" w:sz="8" w:space="0" w:color="auto"/>
              <w:left w:val="single" w:sz="8" w:space="0" w:color="auto"/>
              <w:bottom w:val="single" w:sz="8" w:space="0" w:color="F79646"/>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8" w:space="0" w:color="auto"/>
              <w:left w:val="nil"/>
              <w:bottom w:val="single" w:sz="8" w:space="0" w:color="F79646"/>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120" w:type="dxa"/>
            <w:tcBorders>
              <w:top w:val="single" w:sz="8" w:space="0" w:color="auto"/>
              <w:left w:val="nil"/>
              <w:bottom w:val="single" w:sz="8" w:space="0" w:color="F79646"/>
              <w:right w:val="single" w:sz="8" w:space="0" w:color="auto"/>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single" w:sz="8" w:space="0" w:color="F79646"/>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840" w:type="dxa"/>
            <w:tcBorders>
              <w:top w:val="single" w:sz="8" w:space="0" w:color="auto"/>
              <w:left w:val="nil"/>
              <w:bottom w:val="single" w:sz="8" w:space="0" w:color="F79646"/>
              <w:right w:val="nil"/>
            </w:tcBorders>
            <w:shd w:val="clear" w:color="auto" w:fill="F79646"/>
            <w:vAlign w:val="bottom"/>
          </w:tcPr>
          <w:p w:rsidR="00774FA3" w:rsidRPr="00481167" w:rsidRDefault="00774FA3" w:rsidP="00774FA3">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1</w:t>
            </w:r>
          </w:p>
        </w:tc>
        <w:tc>
          <w:tcPr>
            <w:tcW w:w="120" w:type="dxa"/>
            <w:tcBorders>
              <w:top w:val="single" w:sz="8" w:space="0" w:color="auto"/>
              <w:left w:val="nil"/>
              <w:bottom w:val="single" w:sz="8" w:space="0" w:color="F79646"/>
              <w:right w:val="single" w:sz="8" w:space="0" w:color="auto"/>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single" w:sz="8" w:space="0" w:color="F79646"/>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00" w:type="dxa"/>
            <w:tcBorders>
              <w:top w:val="single" w:sz="8" w:space="0" w:color="auto"/>
              <w:left w:val="nil"/>
              <w:bottom w:val="single" w:sz="8" w:space="0" w:color="F79646"/>
              <w:right w:val="nil"/>
            </w:tcBorders>
            <w:shd w:val="clear" w:color="auto" w:fill="F79646"/>
            <w:vAlign w:val="bottom"/>
          </w:tcPr>
          <w:p w:rsidR="00774FA3" w:rsidRPr="00481167" w:rsidRDefault="00774FA3" w:rsidP="00774FA3">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2</w:t>
            </w:r>
          </w:p>
        </w:tc>
        <w:tc>
          <w:tcPr>
            <w:tcW w:w="120" w:type="dxa"/>
            <w:tcBorders>
              <w:top w:val="single" w:sz="8" w:space="0" w:color="auto"/>
              <w:left w:val="nil"/>
              <w:bottom w:val="single" w:sz="8" w:space="0" w:color="F79646"/>
              <w:right w:val="single" w:sz="8" w:space="0" w:color="auto"/>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single" w:sz="8" w:space="0" w:color="F79646"/>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560" w:type="dxa"/>
            <w:tcBorders>
              <w:top w:val="single" w:sz="8" w:space="0" w:color="auto"/>
              <w:left w:val="nil"/>
              <w:bottom w:val="single" w:sz="8" w:space="0" w:color="F79646"/>
              <w:right w:val="nil"/>
            </w:tcBorders>
            <w:shd w:val="clear" w:color="auto" w:fill="F79646"/>
            <w:vAlign w:val="bottom"/>
          </w:tcPr>
          <w:p w:rsidR="00774FA3" w:rsidRPr="00481167" w:rsidRDefault="00774FA3" w:rsidP="00774FA3">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3</w:t>
            </w:r>
          </w:p>
        </w:tc>
        <w:tc>
          <w:tcPr>
            <w:tcW w:w="120" w:type="dxa"/>
            <w:tcBorders>
              <w:top w:val="single" w:sz="8" w:space="0" w:color="auto"/>
              <w:left w:val="nil"/>
              <w:bottom w:val="single" w:sz="8" w:space="0" w:color="F79646"/>
              <w:right w:val="single" w:sz="8" w:space="0" w:color="auto"/>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315"/>
        </w:trPr>
        <w:tc>
          <w:tcPr>
            <w:tcW w:w="1060" w:type="dxa"/>
            <w:gridSpan w:val="2"/>
            <w:tcBorders>
              <w:top w:val="single" w:sz="8" w:space="0" w:color="auto"/>
              <w:left w:val="single" w:sz="8" w:space="0" w:color="auto"/>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1.</w:t>
            </w:r>
          </w:p>
        </w:tc>
        <w:tc>
          <w:tcPr>
            <w:tcW w:w="120" w:type="dxa"/>
            <w:tcBorders>
              <w:top w:val="single" w:sz="8" w:space="0" w:color="auto"/>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40" w:type="dxa"/>
            <w:gridSpan w:val="2"/>
            <w:tcBorders>
              <w:top w:val="single" w:sz="8" w:space="0" w:color="auto"/>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19-24</w:t>
            </w:r>
          </w:p>
        </w:tc>
        <w:tc>
          <w:tcPr>
            <w:tcW w:w="120" w:type="dxa"/>
            <w:tcBorders>
              <w:top w:val="single" w:sz="8" w:space="0" w:color="auto"/>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700" w:type="dxa"/>
            <w:gridSpan w:val="2"/>
            <w:tcBorders>
              <w:top w:val="single" w:sz="8" w:space="0" w:color="auto"/>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9</w:t>
            </w:r>
          </w:p>
        </w:tc>
        <w:tc>
          <w:tcPr>
            <w:tcW w:w="120" w:type="dxa"/>
            <w:tcBorders>
              <w:top w:val="single" w:sz="8" w:space="0" w:color="auto"/>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single" w:sz="8" w:space="0" w:color="auto"/>
              <w:left w:val="nil"/>
              <w:bottom w:val="single" w:sz="8" w:space="0" w:color="auto"/>
              <w:right w:val="nil"/>
            </w:tcBorders>
            <w:vAlign w:val="bottom"/>
          </w:tcPr>
          <w:p w:rsidR="00774FA3" w:rsidRPr="00340654" w:rsidRDefault="00340654" w:rsidP="00774FA3">
            <w:pPr>
              <w:widowControl w:val="0"/>
              <w:autoSpaceDE w:val="0"/>
              <w:autoSpaceDN w:val="0"/>
              <w:adjustRightInd w:val="0"/>
              <w:spacing w:after="0" w:line="267" w:lineRule="exact"/>
              <w:jc w:val="center"/>
            </w:pPr>
            <w:r w:rsidRPr="00340654">
              <w:t>6</w:t>
            </w:r>
          </w:p>
        </w:tc>
        <w:tc>
          <w:tcPr>
            <w:tcW w:w="120" w:type="dxa"/>
            <w:tcBorders>
              <w:top w:val="single" w:sz="8" w:space="0" w:color="auto"/>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306"/>
        </w:trPr>
        <w:tc>
          <w:tcPr>
            <w:tcW w:w="1060" w:type="dxa"/>
            <w:gridSpan w:val="2"/>
            <w:tcBorders>
              <w:top w:val="nil"/>
              <w:left w:val="single" w:sz="8" w:space="0" w:color="auto"/>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2.</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40" w:type="dxa"/>
            <w:gridSpan w:val="2"/>
            <w:tcBorders>
              <w:top w:val="nil"/>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25-29</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700" w:type="dxa"/>
            <w:gridSpan w:val="2"/>
            <w:tcBorders>
              <w:top w:val="nil"/>
              <w:left w:val="nil"/>
              <w:bottom w:val="single" w:sz="8" w:space="0" w:color="auto"/>
              <w:right w:val="nil"/>
            </w:tcBorders>
            <w:vAlign w:val="bottom"/>
          </w:tcPr>
          <w:p w:rsidR="00774FA3" w:rsidRPr="00481167" w:rsidRDefault="00F57571" w:rsidP="00774FA3">
            <w:pPr>
              <w:widowControl w:val="0"/>
              <w:autoSpaceDE w:val="0"/>
              <w:autoSpaceDN w:val="0"/>
              <w:adjustRightInd w:val="0"/>
              <w:spacing w:after="0" w:line="267" w:lineRule="exact"/>
              <w:jc w:val="center"/>
              <w:rPr>
                <w:rFonts w:ascii="Times New Roman" w:hAnsi="Times New Roman"/>
                <w:sz w:val="24"/>
                <w:szCs w:val="24"/>
              </w:rPr>
            </w:pPr>
            <w:r>
              <w:rPr>
                <w:rFonts w:cs="Calibri"/>
              </w:rPr>
              <w:t>14</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nil"/>
              <w:left w:val="nil"/>
              <w:bottom w:val="single" w:sz="8" w:space="0" w:color="auto"/>
              <w:right w:val="nil"/>
            </w:tcBorders>
            <w:vAlign w:val="bottom"/>
          </w:tcPr>
          <w:p w:rsidR="00774FA3" w:rsidRPr="00340654" w:rsidRDefault="00340654" w:rsidP="00774FA3">
            <w:pPr>
              <w:widowControl w:val="0"/>
              <w:autoSpaceDE w:val="0"/>
              <w:autoSpaceDN w:val="0"/>
              <w:adjustRightInd w:val="0"/>
              <w:spacing w:after="0" w:line="267" w:lineRule="exact"/>
              <w:jc w:val="center"/>
            </w:pPr>
            <w:r w:rsidRPr="00340654">
              <w:t>17</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335"/>
        </w:trPr>
        <w:tc>
          <w:tcPr>
            <w:tcW w:w="1060" w:type="dxa"/>
            <w:gridSpan w:val="2"/>
            <w:tcBorders>
              <w:top w:val="nil"/>
              <w:left w:val="single" w:sz="8" w:space="0" w:color="auto"/>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3.</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40" w:type="dxa"/>
            <w:gridSpan w:val="2"/>
            <w:tcBorders>
              <w:top w:val="nil"/>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30-34</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700" w:type="dxa"/>
            <w:gridSpan w:val="2"/>
            <w:tcBorders>
              <w:top w:val="nil"/>
              <w:left w:val="nil"/>
              <w:bottom w:val="single" w:sz="8" w:space="0" w:color="auto"/>
              <w:right w:val="nil"/>
            </w:tcBorders>
            <w:vAlign w:val="bottom"/>
          </w:tcPr>
          <w:p w:rsidR="00774FA3" w:rsidRPr="00481167" w:rsidRDefault="00F57571" w:rsidP="00774FA3">
            <w:pPr>
              <w:widowControl w:val="0"/>
              <w:autoSpaceDE w:val="0"/>
              <w:autoSpaceDN w:val="0"/>
              <w:adjustRightInd w:val="0"/>
              <w:spacing w:after="0" w:line="267" w:lineRule="exact"/>
              <w:jc w:val="center"/>
              <w:rPr>
                <w:rFonts w:ascii="Times New Roman" w:hAnsi="Times New Roman"/>
                <w:sz w:val="24"/>
                <w:szCs w:val="24"/>
              </w:rPr>
            </w:pPr>
            <w:r>
              <w:rPr>
                <w:rFonts w:cs="Calibri"/>
              </w:rPr>
              <w:t>36</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nil"/>
              <w:left w:val="nil"/>
              <w:bottom w:val="single" w:sz="8" w:space="0" w:color="auto"/>
              <w:right w:val="nil"/>
            </w:tcBorders>
            <w:vAlign w:val="bottom"/>
          </w:tcPr>
          <w:p w:rsidR="00774FA3" w:rsidRPr="00340654" w:rsidRDefault="00340654" w:rsidP="00774FA3">
            <w:pPr>
              <w:widowControl w:val="0"/>
              <w:autoSpaceDE w:val="0"/>
              <w:autoSpaceDN w:val="0"/>
              <w:adjustRightInd w:val="0"/>
              <w:spacing w:after="0" w:line="267" w:lineRule="exact"/>
              <w:jc w:val="center"/>
            </w:pPr>
            <w:r w:rsidRPr="00340654">
              <w:t>40</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335"/>
        </w:trPr>
        <w:tc>
          <w:tcPr>
            <w:tcW w:w="1060" w:type="dxa"/>
            <w:gridSpan w:val="2"/>
            <w:tcBorders>
              <w:top w:val="nil"/>
              <w:left w:val="single" w:sz="8" w:space="0" w:color="auto"/>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4.</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40" w:type="dxa"/>
            <w:gridSpan w:val="2"/>
            <w:tcBorders>
              <w:top w:val="nil"/>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35-39</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700" w:type="dxa"/>
            <w:gridSpan w:val="2"/>
            <w:tcBorders>
              <w:top w:val="nil"/>
              <w:left w:val="nil"/>
              <w:bottom w:val="single" w:sz="8" w:space="0" w:color="auto"/>
              <w:right w:val="nil"/>
            </w:tcBorders>
            <w:vAlign w:val="bottom"/>
          </w:tcPr>
          <w:p w:rsidR="00774FA3" w:rsidRPr="00481167" w:rsidRDefault="00F57571" w:rsidP="00774FA3">
            <w:pPr>
              <w:widowControl w:val="0"/>
              <w:autoSpaceDE w:val="0"/>
              <w:autoSpaceDN w:val="0"/>
              <w:adjustRightInd w:val="0"/>
              <w:spacing w:after="0" w:line="267" w:lineRule="exact"/>
              <w:jc w:val="center"/>
              <w:rPr>
                <w:rFonts w:ascii="Times New Roman" w:hAnsi="Times New Roman"/>
                <w:sz w:val="24"/>
                <w:szCs w:val="24"/>
              </w:rPr>
            </w:pPr>
            <w:r>
              <w:rPr>
                <w:rFonts w:cs="Calibri"/>
              </w:rPr>
              <w:t>23</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nil"/>
              <w:left w:val="nil"/>
              <w:bottom w:val="single" w:sz="8" w:space="0" w:color="auto"/>
              <w:right w:val="nil"/>
            </w:tcBorders>
            <w:vAlign w:val="bottom"/>
          </w:tcPr>
          <w:p w:rsidR="00774FA3" w:rsidRPr="00340654" w:rsidRDefault="00340654" w:rsidP="00774FA3">
            <w:pPr>
              <w:widowControl w:val="0"/>
              <w:autoSpaceDE w:val="0"/>
              <w:autoSpaceDN w:val="0"/>
              <w:adjustRightInd w:val="0"/>
              <w:spacing w:after="0" w:line="267" w:lineRule="exact"/>
              <w:jc w:val="center"/>
            </w:pPr>
            <w:r w:rsidRPr="00340654">
              <w:t>19</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304"/>
        </w:trPr>
        <w:tc>
          <w:tcPr>
            <w:tcW w:w="1060" w:type="dxa"/>
            <w:gridSpan w:val="2"/>
            <w:tcBorders>
              <w:top w:val="nil"/>
              <w:left w:val="single" w:sz="8" w:space="0" w:color="auto"/>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5.</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40" w:type="dxa"/>
            <w:gridSpan w:val="2"/>
            <w:tcBorders>
              <w:top w:val="nil"/>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40-44</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700" w:type="dxa"/>
            <w:gridSpan w:val="2"/>
            <w:tcBorders>
              <w:top w:val="nil"/>
              <w:left w:val="nil"/>
              <w:bottom w:val="single" w:sz="8" w:space="0" w:color="auto"/>
              <w:right w:val="nil"/>
            </w:tcBorders>
            <w:vAlign w:val="bottom"/>
          </w:tcPr>
          <w:p w:rsidR="00774FA3" w:rsidRPr="00481167" w:rsidRDefault="00F57571" w:rsidP="00774FA3">
            <w:pPr>
              <w:widowControl w:val="0"/>
              <w:autoSpaceDE w:val="0"/>
              <w:autoSpaceDN w:val="0"/>
              <w:adjustRightInd w:val="0"/>
              <w:spacing w:after="0" w:line="267" w:lineRule="exact"/>
              <w:jc w:val="center"/>
              <w:rPr>
                <w:rFonts w:ascii="Times New Roman" w:hAnsi="Times New Roman"/>
                <w:sz w:val="24"/>
                <w:szCs w:val="24"/>
              </w:rPr>
            </w:pPr>
            <w:r>
              <w:rPr>
                <w:rFonts w:cs="Calibri"/>
              </w:rPr>
              <w:t>18</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nil"/>
              <w:left w:val="nil"/>
              <w:bottom w:val="single" w:sz="8" w:space="0" w:color="auto"/>
              <w:right w:val="nil"/>
            </w:tcBorders>
            <w:vAlign w:val="bottom"/>
          </w:tcPr>
          <w:p w:rsidR="00774FA3" w:rsidRPr="00340654" w:rsidRDefault="00340654" w:rsidP="00774FA3">
            <w:pPr>
              <w:widowControl w:val="0"/>
              <w:autoSpaceDE w:val="0"/>
              <w:autoSpaceDN w:val="0"/>
              <w:adjustRightInd w:val="0"/>
              <w:spacing w:after="0" w:line="267" w:lineRule="exact"/>
              <w:jc w:val="center"/>
            </w:pPr>
            <w:r w:rsidRPr="00340654">
              <w:t>24</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290"/>
        </w:trPr>
        <w:tc>
          <w:tcPr>
            <w:tcW w:w="1060" w:type="dxa"/>
            <w:gridSpan w:val="2"/>
            <w:tcBorders>
              <w:top w:val="nil"/>
              <w:left w:val="single" w:sz="8" w:space="0" w:color="auto"/>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6.</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40" w:type="dxa"/>
            <w:gridSpan w:val="2"/>
            <w:tcBorders>
              <w:top w:val="nil"/>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45-49</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700" w:type="dxa"/>
            <w:gridSpan w:val="2"/>
            <w:tcBorders>
              <w:top w:val="nil"/>
              <w:left w:val="nil"/>
              <w:bottom w:val="single" w:sz="8" w:space="0" w:color="auto"/>
              <w:right w:val="nil"/>
            </w:tcBorders>
            <w:vAlign w:val="bottom"/>
          </w:tcPr>
          <w:p w:rsidR="00774FA3" w:rsidRPr="00481167" w:rsidRDefault="00F57571" w:rsidP="00774FA3">
            <w:pPr>
              <w:widowControl w:val="0"/>
              <w:autoSpaceDE w:val="0"/>
              <w:autoSpaceDN w:val="0"/>
              <w:adjustRightInd w:val="0"/>
              <w:spacing w:after="0" w:line="267" w:lineRule="exact"/>
              <w:jc w:val="center"/>
              <w:rPr>
                <w:rFonts w:ascii="Times New Roman" w:hAnsi="Times New Roman"/>
                <w:sz w:val="24"/>
                <w:szCs w:val="24"/>
              </w:rPr>
            </w:pPr>
            <w:r>
              <w:rPr>
                <w:rFonts w:cs="Calibri"/>
              </w:rPr>
              <w:t>2</w:t>
            </w:r>
            <w:r w:rsidR="00774FA3" w:rsidRPr="00481167">
              <w:rPr>
                <w:rFonts w:cs="Calibri"/>
              </w:rPr>
              <w:t>2</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nil"/>
              <w:left w:val="nil"/>
              <w:bottom w:val="single" w:sz="8" w:space="0" w:color="auto"/>
              <w:right w:val="nil"/>
            </w:tcBorders>
            <w:vAlign w:val="bottom"/>
          </w:tcPr>
          <w:p w:rsidR="00774FA3" w:rsidRPr="00340654" w:rsidRDefault="00340654" w:rsidP="00774FA3">
            <w:pPr>
              <w:widowControl w:val="0"/>
              <w:autoSpaceDE w:val="0"/>
              <w:autoSpaceDN w:val="0"/>
              <w:adjustRightInd w:val="0"/>
              <w:spacing w:after="0" w:line="267" w:lineRule="exact"/>
              <w:jc w:val="center"/>
            </w:pPr>
            <w:r w:rsidRPr="00340654">
              <w:t>17</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291"/>
        </w:trPr>
        <w:tc>
          <w:tcPr>
            <w:tcW w:w="1060" w:type="dxa"/>
            <w:gridSpan w:val="2"/>
            <w:tcBorders>
              <w:top w:val="nil"/>
              <w:left w:val="single" w:sz="8" w:space="0" w:color="auto"/>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7.</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40" w:type="dxa"/>
            <w:gridSpan w:val="2"/>
            <w:tcBorders>
              <w:top w:val="nil"/>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50-54</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700" w:type="dxa"/>
            <w:gridSpan w:val="2"/>
            <w:tcBorders>
              <w:top w:val="nil"/>
              <w:left w:val="nil"/>
              <w:bottom w:val="single" w:sz="8" w:space="0" w:color="auto"/>
              <w:right w:val="nil"/>
            </w:tcBorders>
            <w:vAlign w:val="bottom"/>
          </w:tcPr>
          <w:p w:rsidR="00774FA3" w:rsidRPr="00481167" w:rsidRDefault="00F57571" w:rsidP="00774FA3">
            <w:pPr>
              <w:widowControl w:val="0"/>
              <w:autoSpaceDE w:val="0"/>
              <w:autoSpaceDN w:val="0"/>
              <w:adjustRightInd w:val="0"/>
              <w:spacing w:after="0" w:line="267" w:lineRule="exact"/>
              <w:jc w:val="center"/>
              <w:rPr>
                <w:rFonts w:ascii="Times New Roman" w:hAnsi="Times New Roman"/>
                <w:sz w:val="24"/>
                <w:szCs w:val="24"/>
              </w:rPr>
            </w:pPr>
            <w:r>
              <w:rPr>
                <w:rFonts w:cs="Calibri"/>
              </w:rPr>
              <w:t>32</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nil"/>
              <w:left w:val="nil"/>
              <w:bottom w:val="single" w:sz="8" w:space="0" w:color="auto"/>
              <w:right w:val="nil"/>
            </w:tcBorders>
            <w:vAlign w:val="bottom"/>
          </w:tcPr>
          <w:p w:rsidR="00774FA3" w:rsidRPr="00340654" w:rsidRDefault="00340654" w:rsidP="00774FA3">
            <w:pPr>
              <w:widowControl w:val="0"/>
              <w:autoSpaceDE w:val="0"/>
              <w:autoSpaceDN w:val="0"/>
              <w:adjustRightInd w:val="0"/>
              <w:spacing w:after="0" w:line="267" w:lineRule="exact"/>
              <w:jc w:val="center"/>
            </w:pPr>
            <w:r w:rsidRPr="00340654">
              <w:t>31</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291"/>
        </w:trPr>
        <w:tc>
          <w:tcPr>
            <w:tcW w:w="1060" w:type="dxa"/>
            <w:gridSpan w:val="2"/>
            <w:tcBorders>
              <w:top w:val="nil"/>
              <w:left w:val="single" w:sz="8" w:space="0" w:color="auto"/>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8.</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40" w:type="dxa"/>
            <w:gridSpan w:val="2"/>
            <w:tcBorders>
              <w:top w:val="nil"/>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55-59</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700" w:type="dxa"/>
            <w:gridSpan w:val="2"/>
            <w:tcBorders>
              <w:top w:val="nil"/>
              <w:left w:val="nil"/>
              <w:bottom w:val="single" w:sz="8" w:space="0" w:color="auto"/>
              <w:right w:val="nil"/>
            </w:tcBorders>
            <w:vAlign w:val="bottom"/>
          </w:tcPr>
          <w:p w:rsidR="00774FA3" w:rsidRPr="00481167" w:rsidRDefault="00F57571" w:rsidP="00774FA3">
            <w:pPr>
              <w:widowControl w:val="0"/>
              <w:autoSpaceDE w:val="0"/>
              <w:autoSpaceDN w:val="0"/>
              <w:adjustRightInd w:val="0"/>
              <w:spacing w:after="0" w:line="267" w:lineRule="exact"/>
              <w:jc w:val="center"/>
              <w:rPr>
                <w:rFonts w:ascii="Times New Roman" w:hAnsi="Times New Roman"/>
                <w:sz w:val="24"/>
                <w:szCs w:val="24"/>
              </w:rPr>
            </w:pPr>
            <w:r>
              <w:rPr>
                <w:rFonts w:cs="Calibri"/>
              </w:rPr>
              <w:t>33</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nil"/>
              <w:left w:val="nil"/>
              <w:bottom w:val="single" w:sz="8" w:space="0" w:color="auto"/>
              <w:right w:val="nil"/>
            </w:tcBorders>
            <w:vAlign w:val="bottom"/>
          </w:tcPr>
          <w:p w:rsidR="00774FA3" w:rsidRPr="00340654" w:rsidRDefault="00340654" w:rsidP="00774FA3">
            <w:pPr>
              <w:widowControl w:val="0"/>
              <w:autoSpaceDE w:val="0"/>
              <w:autoSpaceDN w:val="0"/>
              <w:adjustRightInd w:val="0"/>
              <w:spacing w:after="0" w:line="267" w:lineRule="exact"/>
              <w:jc w:val="center"/>
            </w:pPr>
            <w:r w:rsidRPr="00340654">
              <w:t>39</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334"/>
        </w:trPr>
        <w:tc>
          <w:tcPr>
            <w:tcW w:w="1060" w:type="dxa"/>
            <w:gridSpan w:val="2"/>
            <w:tcBorders>
              <w:top w:val="nil"/>
              <w:left w:val="single" w:sz="8" w:space="0" w:color="auto"/>
              <w:bottom w:val="single" w:sz="8" w:space="0" w:color="auto"/>
              <w:right w:val="nil"/>
            </w:tcBorders>
            <w:vAlign w:val="bottom"/>
          </w:tcPr>
          <w:p w:rsidR="00774FA3" w:rsidRPr="00481167" w:rsidRDefault="00774FA3" w:rsidP="00774FA3">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9.</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940" w:type="dxa"/>
            <w:gridSpan w:val="2"/>
            <w:tcBorders>
              <w:top w:val="nil"/>
              <w:left w:val="nil"/>
              <w:bottom w:val="single" w:sz="8" w:space="0" w:color="auto"/>
              <w:right w:val="nil"/>
            </w:tcBorders>
            <w:vAlign w:val="bottom"/>
          </w:tcPr>
          <w:p w:rsidR="00774FA3" w:rsidRPr="00481167" w:rsidRDefault="00774FA3" w:rsidP="00774FA3">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60-64</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700" w:type="dxa"/>
            <w:gridSpan w:val="2"/>
            <w:tcBorders>
              <w:top w:val="nil"/>
              <w:left w:val="nil"/>
              <w:bottom w:val="single" w:sz="8" w:space="0" w:color="auto"/>
              <w:right w:val="nil"/>
            </w:tcBorders>
            <w:vAlign w:val="bottom"/>
          </w:tcPr>
          <w:p w:rsidR="00774FA3" w:rsidRPr="00481167" w:rsidRDefault="00F57571" w:rsidP="00774FA3">
            <w:pPr>
              <w:widowControl w:val="0"/>
              <w:autoSpaceDE w:val="0"/>
              <w:autoSpaceDN w:val="0"/>
              <w:adjustRightInd w:val="0"/>
              <w:spacing w:after="0" w:line="240" w:lineRule="auto"/>
              <w:jc w:val="center"/>
              <w:rPr>
                <w:rFonts w:ascii="Times New Roman" w:hAnsi="Times New Roman"/>
                <w:sz w:val="24"/>
                <w:szCs w:val="24"/>
              </w:rPr>
            </w:pPr>
            <w:r>
              <w:rPr>
                <w:rFonts w:cs="Calibri"/>
              </w:rPr>
              <w:t>7</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660" w:type="dxa"/>
            <w:gridSpan w:val="2"/>
            <w:tcBorders>
              <w:top w:val="nil"/>
              <w:left w:val="nil"/>
              <w:bottom w:val="single" w:sz="8" w:space="0" w:color="auto"/>
              <w:right w:val="nil"/>
            </w:tcBorders>
            <w:vAlign w:val="bottom"/>
          </w:tcPr>
          <w:p w:rsidR="00774FA3" w:rsidRPr="00340654" w:rsidRDefault="00340654" w:rsidP="00774FA3">
            <w:pPr>
              <w:widowControl w:val="0"/>
              <w:autoSpaceDE w:val="0"/>
              <w:autoSpaceDN w:val="0"/>
              <w:adjustRightInd w:val="0"/>
              <w:spacing w:after="0" w:line="240" w:lineRule="auto"/>
              <w:jc w:val="center"/>
            </w:pPr>
            <w:r w:rsidRPr="00340654">
              <w:t>5</w:t>
            </w:r>
          </w:p>
        </w:tc>
        <w:tc>
          <w:tcPr>
            <w:tcW w:w="120" w:type="dxa"/>
            <w:tcBorders>
              <w:top w:val="nil"/>
              <w:left w:val="nil"/>
              <w:bottom w:val="single" w:sz="8" w:space="0" w:color="auto"/>
              <w:right w:val="single" w:sz="8" w:space="0" w:color="auto"/>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r w:rsidR="00774FA3" w:rsidRPr="00481167" w:rsidTr="00774FA3">
        <w:trPr>
          <w:trHeight w:val="265"/>
        </w:trPr>
        <w:tc>
          <w:tcPr>
            <w:tcW w:w="100" w:type="dxa"/>
            <w:tcBorders>
              <w:top w:val="single" w:sz="8" w:space="0" w:color="F79646"/>
              <w:left w:val="single" w:sz="8" w:space="0" w:color="auto"/>
              <w:bottom w:val="single" w:sz="8" w:space="0" w:color="auto"/>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3"/>
                <w:szCs w:val="23"/>
              </w:rPr>
            </w:pPr>
          </w:p>
        </w:tc>
        <w:tc>
          <w:tcPr>
            <w:tcW w:w="960" w:type="dxa"/>
            <w:tcBorders>
              <w:top w:val="single" w:sz="8" w:space="0" w:color="F79646"/>
              <w:left w:val="nil"/>
              <w:bottom w:val="single" w:sz="8" w:space="0" w:color="auto"/>
              <w:right w:val="nil"/>
            </w:tcBorders>
            <w:shd w:val="clear" w:color="auto" w:fill="F79646"/>
            <w:vAlign w:val="bottom"/>
          </w:tcPr>
          <w:p w:rsidR="00774FA3" w:rsidRPr="00481167" w:rsidRDefault="00774FA3" w:rsidP="00774FA3">
            <w:pPr>
              <w:widowControl w:val="0"/>
              <w:autoSpaceDE w:val="0"/>
              <w:autoSpaceDN w:val="0"/>
              <w:adjustRightInd w:val="0"/>
              <w:spacing w:after="0" w:line="260" w:lineRule="exact"/>
              <w:jc w:val="center"/>
              <w:rPr>
                <w:rFonts w:ascii="Times New Roman" w:hAnsi="Times New Roman"/>
                <w:sz w:val="24"/>
                <w:szCs w:val="24"/>
              </w:rPr>
            </w:pPr>
            <w:r w:rsidRPr="00481167">
              <w:rPr>
                <w:rFonts w:cs="Calibri"/>
                <w:b/>
                <w:bCs/>
              </w:rPr>
              <w:t>UKUPNO</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F79646"/>
              <w:left w:val="nil"/>
              <w:bottom w:val="single" w:sz="8" w:space="0" w:color="auto"/>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3"/>
                <w:szCs w:val="23"/>
              </w:rPr>
            </w:pPr>
          </w:p>
        </w:tc>
        <w:tc>
          <w:tcPr>
            <w:tcW w:w="840" w:type="dxa"/>
            <w:tcBorders>
              <w:top w:val="single" w:sz="8" w:space="0" w:color="F79646"/>
              <w:left w:val="nil"/>
              <w:bottom w:val="single" w:sz="8" w:space="0" w:color="auto"/>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F79646"/>
              <w:left w:val="nil"/>
              <w:bottom w:val="single" w:sz="8" w:space="0" w:color="auto"/>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3"/>
                <w:szCs w:val="23"/>
              </w:rPr>
            </w:pPr>
          </w:p>
        </w:tc>
        <w:tc>
          <w:tcPr>
            <w:tcW w:w="600" w:type="dxa"/>
            <w:tcBorders>
              <w:top w:val="single" w:sz="8" w:space="0" w:color="F79646"/>
              <w:left w:val="nil"/>
              <w:bottom w:val="single" w:sz="8" w:space="0" w:color="auto"/>
              <w:right w:val="nil"/>
            </w:tcBorders>
            <w:shd w:val="clear" w:color="auto" w:fill="F79646"/>
            <w:vAlign w:val="bottom"/>
          </w:tcPr>
          <w:p w:rsidR="00774FA3" w:rsidRPr="00481167" w:rsidRDefault="00F57571" w:rsidP="00774FA3">
            <w:pPr>
              <w:widowControl w:val="0"/>
              <w:autoSpaceDE w:val="0"/>
              <w:autoSpaceDN w:val="0"/>
              <w:adjustRightInd w:val="0"/>
              <w:spacing w:after="0" w:line="260" w:lineRule="exact"/>
              <w:jc w:val="center"/>
              <w:rPr>
                <w:rFonts w:ascii="Times New Roman" w:hAnsi="Times New Roman"/>
                <w:sz w:val="24"/>
                <w:szCs w:val="24"/>
              </w:rPr>
            </w:pPr>
            <w:r>
              <w:rPr>
                <w:rFonts w:cs="Calibri"/>
                <w:b/>
                <w:bCs/>
                <w:w w:val="95"/>
              </w:rPr>
              <w:t>194</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F79646"/>
              <w:left w:val="nil"/>
              <w:bottom w:val="single" w:sz="8" w:space="0" w:color="auto"/>
              <w:right w:val="nil"/>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3"/>
                <w:szCs w:val="23"/>
              </w:rPr>
            </w:pPr>
          </w:p>
        </w:tc>
        <w:tc>
          <w:tcPr>
            <w:tcW w:w="560" w:type="dxa"/>
            <w:tcBorders>
              <w:top w:val="single" w:sz="8" w:space="0" w:color="F79646"/>
              <w:left w:val="nil"/>
              <w:bottom w:val="single" w:sz="8" w:space="0" w:color="auto"/>
              <w:right w:val="nil"/>
            </w:tcBorders>
            <w:shd w:val="clear" w:color="auto" w:fill="F79646"/>
            <w:vAlign w:val="bottom"/>
          </w:tcPr>
          <w:p w:rsidR="00774FA3" w:rsidRPr="00481167" w:rsidRDefault="00774FA3" w:rsidP="00774FA3">
            <w:pPr>
              <w:widowControl w:val="0"/>
              <w:autoSpaceDE w:val="0"/>
              <w:autoSpaceDN w:val="0"/>
              <w:adjustRightInd w:val="0"/>
              <w:spacing w:after="0" w:line="260" w:lineRule="exact"/>
              <w:jc w:val="center"/>
              <w:rPr>
                <w:rFonts w:ascii="Times New Roman" w:hAnsi="Times New Roman"/>
                <w:sz w:val="24"/>
                <w:szCs w:val="24"/>
              </w:rPr>
            </w:pPr>
            <w:r w:rsidRPr="00481167">
              <w:rPr>
                <w:rFonts w:cs="Calibri"/>
                <w:b/>
                <w:bCs/>
              </w:rPr>
              <w:t>19</w:t>
            </w:r>
            <w:r w:rsidR="000F01A4">
              <w:rPr>
                <w:rFonts w:cs="Calibri"/>
                <w:b/>
                <w:bCs/>
              </w:rPr>
              <w:t>8</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774FA3" w:rsidRPr="00481167" w:rsidRDefault="00774FA3" w:rsidP="00774FA3">
            <w:pPr>
              <w:widowControl w:val="0"/>
              <w:autoSpaceDE w:val="0"/>
              <w:autoSpaceDN w:val="0"/>
              <w:adjustRightInd w:val="0"/>
              <w:spacing w:after="0" w:line="240" w:lineRule="auto"/>
              <w:rPr>
                <w:rFonts w:ascii="Times New Roman" w:hAnsi="Times New Roman"/>
                <w:sz w:val="2"/>
                <w:szCs w:val="2"/>
              </w:rPr>
            </w:pPr>
          </w:p>
        </w:tc>
      </w:tr>
    </w:tbl>
    <w:p w:rsidR="00774FA3" w:rsidRDefault="00774FA3"/>
    <w:p w:rsidR="00792E37" w:rsidRDefault="00792E37"/>
    <w:p w:rsidR="00F57571" w:rsidRDefault="00F57571"/>
    <w:p w:rsidR="00F57571" w:rsidRDefault="00F57571"/>
    <w:p w:rsidR="00F57571" w:rsidRDefault="00F57571"/>
    <w:p w:rsidR="00F57571" w:rsidRDefault="00F57571"/>
    <w:p w:rsidR="00F57571" w:rsidRDefault="00F57571"/>
    <w:p w:rsidR="00F57571" w:rsidRDefault="00F57571"/>
    <w:p w:rsidR="00F57571" w:rsidRDefault="00F57571"/>
    <w:p w:rsidR="00F57571" w:rsidRPr="00F57571" w:rsidRDefault="00F57571" w:rsidP="00C47CD5">
      <w:pPr>
        <w:widowControl w:val="0"/>
        <w:overflowPunct w:val="0"/>
        <w:autoSpaceDE w:val="0"/>
        <w:autoSpaceDN w:val="0"/>
        <w:adjustRightInd w:val="0"/>
        <w:spacing w:after="0" w:line="240" w:lineRule="auto"/>
        <w:ind w:left="40"/>
        <w:jc w:val="both"/>
        <w:rPr>
          <w:rFonts w:ascii="Times New Roman" w:hAnsi="Times New Roman"/>
          <w:sz w:val="24"/>
          <w:szCs w:val="24"/>
        </w:rPr>
      </w:pPr>
      <w:r w:rsidRPr="00F57571">
        <w:rPr>
          <w:rFonts w:ascii="Times New Roman" w:hAnsi="Times New Roman"/>
          <w:sz w:val="24"/>
          <w:szCs w:val="24"/>
        </w:rPr>
        <w:t>Iz strukture zaposlenih je vidljivo da je najviše zaposlenih o</w:t>
      </w:r>
      <w:r w:rsidR="00340654">
        <w:rPr>
          <w:rFonts w:ascii="Times New Roman" w:hAnsi="Times New Roman"/>
          <w:sz w:val="24"/>
          <w:szCs w:val="24"/>
        </w:rPr>
        <w:t>soba u dobi između 30-34 godine kao i u prethodnoj godini</w:t>
      </w:r>
      <w:r w:rsidRPr="00F57571">
        <w:rPr>
          <w:rFonts w:ascii="Times New Roman" w:hAnsi="Times New Roman"/>
          <w:sz w:val="24"/>
          <w:szCs w:val="24"/>
        </w:rPr>
        <w:t>. Najmanji udio čine zaposleni između 60-64 godine, a zbog rekonstruiranja Društva u tom segmentu se vidi smanjenje u odnosu na godinu prije.</w:t>
      </w:r>
    </w:p>
    <w:p w:rsidR="00F57571" w:rsidRDefault="00F57571"/>
    <w:p w:rsidR="00F72CEF" w:rsidRPr="003844F4" w:rsidRDefault="00F72CEF" w:rsidP="00F72CEF">
      <w:pPr>
        <w:widowControl w:val="0"/>
        <w:autoSpaceDE w:val="0"/>
        <w:autoSpaceDN w:val="0"/>
        <w:adjustRightInd w:val="0"/>
        <w:spacing w:after="0" w:line="240" w:lineRule="auto"/>
        <w:ind w:left="40"/>
        <w:rPr>
          <w:rFonts w:ascii="Times New Roman" w:hAnsi="Times New Roman"/>
          <w:b/>
          <w:i/>
          <w:sz w:val="24"/>
          <w:szCs w:val="24"/>
        </w:rPr>
      </w:pPr>
      <w:r w:rsidRPr="003844F4">
        <w:rPr>
          <w:rFonts w:cs="Calibri"/>
          <w:b/>
          <w:i/>
          <w:sz w:val="32"/>
          <w:szCs w:val="32"/>
        </w:rPr>
        <w:t>Prosječna plaća u Društvu</w:t>
      </w:r>
    </w:p>
    <w:p w:rsidR="00F72CEF" w:rsidRDefault="00F72CEF" w:rsidP="00C47CD5">
      <w:pPr>
        <w:widowControl w:val="0"/>
        <w:autoSpaceDE w:val="0"/>
        <w:autoSpaceDN w:val="0"/>
        <w:adjustRightInd w:val="0"/>
        <w:spacing w:after="0" w:line="240" w:lineRule="auto"/>
        <w:rPr>
          <w:rFonts w:ascii="Times New Roman" w:hAnsi="Times New Roman"/>
          <w:sz w:val="24"/>
          <w:szCs w:val="24"/>
        </w:rPr>
      </w:pPr>
    </w:p>
    <w:p w:rsidR="00F72CEF" w:rsidRPr="00F72CEF" w:rsidRDefault="00F72CEF" w:rsidP="00C47CD5">
      <w:pPr>
        <w:widowControl w:val="0"/>
        <w:overflowPunct w:val="0"/>
        <w:autoSpaceDE w:val="0"/>
        <w:autoSpaceDN w:val="0"/>
        <w:adjustRightInd w:val="0"/>
        <w:spacing w:after="0" w:line="240" w:lineRule="auto"/>
        <w:ind w:left="40"/>
        <w:jc w:val="both"/>
        <w:rPr>
          <w:rFonts w:ascii="Times New Roman" w:hAnsi="Times New Roman"/>
          <w:sz w:val="24"/>
          <w:szCs w:val="24"/>
        </w:rPr>
      </w:pPr>
      <w:r w:rsidRPr="00F72CEF">
        <w:rPr>
          <w:rFonts w:ascii="Times New Roman" w:hAnsi="Times New Roman"/>
          <w:sz w:val="24"/>
          <w:szCs w:val="24"/>
        </w:rPr>
        <w:t>Prosječna plaća Društva kre</w:t>
      </w:r>
      <w:r w:rsidR="00D52113">
        <w:rPr>
          <w:rFonts w:ascii="Times New Roman" w:hAnsi="Times New Roman"/>
          <w:sz w:val="24"/>
          <w:szCs w:val="24"/>
        </w:rPr>
        <w:t>ć</w:t>
      </w:r>
      <w:r w:rsidRPr="00F72CEF">
        <w:rPr>
          <w:rFonts w:ascii="Times New Roman" w:hAnsi="Times New Roman"/>
          <w:sz w:val="24"/>
          <w:szCs w:val="24"/>
        </w:rPr>
        <w:t>e se u okvirima prosječnih plaća četrnaest Društava kapitala koji obavljaju istu djelatnost u Hrvatskoj. Osim osnovnih plaća za koju je osnovica određena, isplaćuju se i svi dodaci na plaću kao što su terenski dodatak, prijevoz na posao te ostala davanja:darovi, božićnice i solidarna potpora. Tablica 3. prikazuje prosječnu plaću u Društvu.</w:t>
      </w:r>
    </w:p>
    <w:p w:rsidR="00F72CEF" w:rsidRDefault="00F72CEF" w:rsidP="00F72CEF">
      <w:pPr>
        <w:widowControl w:val="0"/>
        <w:autoSpaceDE w:val="0"/>
        <w:autoSpaceDN w:val="0"/>
        <w:adjustRightInd w:val="0"/>
        <w:spacing w:after="0" w:line="240" w:lineRule="auto"/>
        <w:ind w:left="40"/>
        <w:rPr>
          <w:rFonts w:cs="Calibri"/>
          <w:b/>
          <w:bCs/>
        </w:rPr>
      </w:pPr>
    </w:p>
    <w:p w:rsidR="00F72CEF" w:rsidRDefault="00F72CEF" w:rsidP="00F72CEF">
      <w:pPr>
        <w:widowControl w:val="0"/>
        <w:autoSpaceDE w:val="0"/>
        <w:autoSpaceDN w:val="0"/>
        <w:adjustRightInd w:val="0"/>
        <w:spacing w:after="0" w:line="240" w:lineRule="auto"/>
        <w:ind w:left="40"/>
        <w:rPr>
          <w:rFonts w:cs="Calibri"/>
          <w:b/>
          <w:bCs/>
        </w:rPr>
      </w:pPr>
      <w:r>
        <w:rPr>
          <w:rFonts w:cs="Calibri"/>
          <w:b/>
          <w:bCs/>
        </w:rPr>
        <w:t>Tablica 3. Prosječni broj rad</w:t>
      </w:r>
      <w:r w:rsidR="007D0796">
        <w:rPr>
          <w:rFonts w:cs="Calibri"/>
          <w:b/>
          <w:bCs/>
        </w:rPr>
        <w:t>nika i prosječna plać</w:t>
      </w:r>
      <w:r>
        <w:rPr>
          <w:rFonts w:cs="Calibri"/>
          <w:b/>
          <w:bCs/>
        </w:rPr>
        <w:t>a od 2014.-2015. godine</w:t>
      </w:r>
    </w:p>
    <w:tbl>
      <w:tblPr>
        <w:tblW w:w="0" w:type="auto"/>
        <w:tblInd w:w="10" w:type="dxa"/>
        <w:tblLayout w:type="fixed"/>
        <w:tblCellMar>
          <w:left w:w="0" w:type="dxa"/>
          <w:right w:w="0" w:type="dxa"/>
        </w:tblCellMar>
        <w:tblLook w:val="0000" w:firstRow="0" w:lastRow="0" w:firstColumn="0" w:lastColumn="0" w:noHBand="0" w:noVBand="0"/>
      </w:tblPr>
      <w:tblGrid>
        <w:gridCol w:w="120"/>
        <w:gridCol w:w="780"/>
        <w:gridCol w:w="120"/>
        <w:gridCol w:w="100"/>
        <w:gridCol w:w="2780"/>
        <w:gridCol w:w="120"/>
        <w:gridCol w:w="100"/>
        <w:gridCol w:w="1620"/>
        <w:gridCol w:w="120"/>
        <w:gridCol w:w="100"/>
        <w:gridCol w:w="1480"/>
        <w:gridCol w:w="120"/>
        <w:gridCol w:w="100"/>
        <w:gridCol w:w="1340"/>
        <w:gridCol w:w="120"/>
        <w:gridCol w:w="30"/>
      </w:tblGrid>
      <w:tr w:rsidR="00F72CEF" w:rsidRPr="00481167" w:rsidTr="00933A35">
        <w:trPr>
          <w:trHeight w:val="176"/>
        </w:trPr>
        <w:tc>
          <w:tcPr>
            <w:tcW w:w="120" w:type="dxa"/>
            <w:tcBorders>
              <w:top w:val="single" w:sz="8" w:space="0" w:color="auto"/>
              <w:left w:val="single" w:sz="8" w:space="0" w:color="auto"/>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780" w:type="dxa"/>
            <w:vMerge w:val="restart"/>
            <w:tcBorders>
              <w:top w:val="single" w:sz="8" w:space="0" w:color="auto"/>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jc w:val="center"/>
              <w:rPr>
                <w:rFonts w:ascii="Times New Roman" w:hAnsi="Times New Roman"/>
                <w:sz w:val="24"/>
                <w:szCs w:val="24"/>
              </w:rPr>
            </w:pPr>
            <w:r w:rsidRPr="007D0796">
              <w:rPr>
                <w:rFonts w:ascii="Times New Roman" w:hAnsi="Times New Roman"/>
                <w:b/>
                <w:bCs/>
                <w:color w:val="FFFFFF"/>
                <w:w w:val="98"/>
              </w:rPr>
              <w:t>Red.br.</w:t>
            </w:r>
          </w:p>
        </w:tc>
        <w:tc>
          <w:tcPr>
            <w:tcW w:w="120" w:type="dxa"/>
            <w:tcBorders>
              <w:top w:val="single" w:sz="8" w:space="0" w:color="auto"/>
              <w:left w:val="nil"/>
              <w:bottom w:val="nil"/>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5"/>
                <w:szCs w:val="15"/>
              </w:rPr>
            </w:pPr>
          </w:p>
        </w:tc>
        <w:tc>
          <w:tcPr>
            <w:tcW w:w="2780" w:type="dxa"/>
            <w:vMerge w:val="restart"/>
            <w:tcBorders>
              <w:top w:val="single" w:sz="8" w:space="0" w:color="auto"/>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ind w:left="1140"/>
              <w:rPr>
                <w:rFonts w:ascii="Times New Roman" w:hAnsi="Times New Roman"/>
                <w:sz w:val="24"/>
                <w:szCs w:val="24"/>
              </w:rPr>
            </w:pPr>
            <w:r w:rsidRPr="007D0796">
              <w:rPr>
                <w:rFonts w:ascii="Times New Roman" w:hAnsi="Times New Roman"/>
                <w:b/>
                <w:bCs/>
                <w:color w:val="FFFFFF"/>
              </w:rPr>
              <w:t>Naziv</w:t>
            </w:r>
          </w:p>
        </w:tc>
        <w:tc>
          <w:tcPr>
            <w:tcW w:w="120" w:type="dxa"/>
            <w:tcBorders>
              <w:top w:val="single" w:sz="8" w:space="0" w:color="auto"/>
              <w:left w:val="nil"/>
              <w:bottom w:val="nil"/>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5"/>
                <w:szCs w:val="15"/>
              </w:rPr>
            </w:pPr>
          </w:p>
        </w:tc>
        <w:tc>
          <w:tcPr>
            <w:tcW w:w="1620" w:type="dxa"/>
            <w:vMerge w:val="restart"/>
            <w:tcBorders>
              <w:top w:val="single" w:sz="8" w:space="0" w:color="auto"/>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ind w:right="450"/>
              <w:jc w:val="right"/>
              <w:rPr>
                <w:rFonts w:ascii="Times New Roman" w:hAnsi="Times New Roman"/>
                <w:sz w:val="24"/>
                <w:szCs w:val="24"/>
              </w:rPr>
            </w:pPr>
            <w:r w:rsidRPr="007D0796">
              <w:rPr>
                <w:rFonts w:ascii="Times New Roman" w:hAnsi="Times New Roman"/>
                <w:b/>
                <w:bCs/>
                <w:color w:val="FFFFFF"/>
              </w:rPr>
              <w:t>2014.</w:t>
            </w:r>
          </w:p>
        </w:tc>
        <w:tc>
          <w:tcPr>
            <w:tcW w:w="120" w:type="dxa"/>
            <w:tcBorders>
              <w:top w:val="single" w:sz="8" w:space="0" w:color="auto"/>
              <w:left w:val="nil"/>
              <w:bottom w:val="nil"/>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5"/>
                <w:szCs w:val="15"/>
              </w:rPr>
            </w:pPr>
          </w:p>
        </w:tc>
        <w:tc>
          <w:tcPr>
            <w:tcW w:w="1480" w:type="dxa"/>
            <w:vMerge w:val="restart"/>
            <w:tcBorders>
              <w:top w:val="single" w:sz="8" w:space="0" w:color="auto"/>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ind w:right="370"/>
              <w:jc w:val="right"/>
              <w:rPr>
                <w:rFonts w:ascii="Times New Roman" w:hAnsi="Times New Roman"/>
                <w:sz w:val="24"/>
                <w:szCs w:val="24"/>
              </w:rPr>
            </w:pPr>
            <w:r w:rsidRPr="007D0796">
              <w:rPr>
                <w:rFonts w:ascii="Times New Roman" w:hAnsi="Times New Roman"/>
                <w:b/>
                <w:bCs/>
                <w:color w:val="FFFFFF"/>
              </w:rPr>
              <w:t>2015.</w:t>
            </w:r>
          </w:p>
        </w:tc>
        <w:tc>
          <w:tcPr>
            <w:tcW w:w="120" w:type="dxa"/>
            <w:tcBorders>
              <w:top w:val="single" w:sz="8" w:space="0" w:color="auto"/>
              <w:left w:val="nil"/>
              <w:bottom w:val="nil"/>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5"/>
                <w:szCs w:val="15"/>
              </w:rPr>
            </w:pPr>
          </w:p>
        </w:tc>
        <w:tc>
          <w:tcPr>
            <w:tcW w:w="1340" w:type="dxa"/>
            <w:vMerge w:val="restart"/>
            <w:tcBorders>
              <w:top w:val="single" w:sz="8" w:space="0" w:color="auto"/>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jc w:val="center"/>
              <w:rPr>
                <w:rFonts w:ascii="Times New Roman" w:hAnsi="Times New Roman"/>
                <w:sz w:val="24"/>
                <w:szCs w:val="24"/>
              </w:rPr>
            </w:pPr>
            <w:r w:rsidRPr="007D0796">
              <w:rPr>
                <w:rFonts w:ascii="Times New Roman" w:hAnsi="Times New Roman"/>
                <w:b/>
                <w:bCs/>
                <w:color w:val="FFFFFF"/>
                <w:w w:val="98"/>
              </w:rPr>
              <w:t>Index</w:t>
            </w:r>
          </w:p>
        </w:tc>
        <w:tc>
          <w:tcPr>
            <w:tcW w:w="120" w:type="dxa"/>
            <w:tcBorders>
              <w:top w:val="single" w:sz="8" w:space="0" w:color="auto"/>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933A35">
        <w:trPr>
          <w:trHeight w:val="269"/>
        </w:trPr>
        <w:tc>
          <w:tcPr>
            <w:tcW w:w="120" w:type="dxa"/>
            <w:tcBorders>
              <w:top w:val="nil"/>
              <w:left w:val="single" w:sz="8" w:space="0" w:color="auto"/>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3"/>
                <w:szCs w:val="23"/>
              </w:rPr>
            </w:pPr>
          </w:p>
        </w:tc>
        <w:tc>
          <w:tcPr>
            <w:tcW w:w="780" w:type="dxa"/>
            <w:vMerge/>
            <w:tcBorders>
              <w:top w:val="nil"/>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2780" w:type="dxa"/>
            <w:vMerge/>
            <w:tcBorders>
              <w:top w:val="nil"/>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620" w:type="dxa"/>
            <w:vMerge/>
            <w:tcBorders>
              <w:top w:val="nil"/>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480" w:type="dxa"/>
            <w:vMerge/>
            <w:tcBorders>
              <w:top w:val="nil"/>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340" w:type="dxa"/>
            <w:vMerge/>
            <w:tcBorders>
              <w:top w:val="nil"/>
              <w:left w:val="nil"/>
              <w:bottom w:val="nil"/>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933A35">
        <w:trPr>
          <w:trHeight w:val="220"/>
        </w:trPr>
        <w:tc>
          <w:tcPr>
            <w:tcW w:w="120" w:type="dxa"/>
            <w:tcBorders>
              <w:top w:val="nil"/>
              <w:left w:val="single" w:sz="8" w:space="0" w:color="auto"/>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8"/>
                <w:szCs w:val="18"/>
              </w:rPr>
            </w:pPr>
          </w:p>
        </w:tc>
        <w:tc>
          <w:tcPr>
            <w:tcW w:w="780" w:type="dxa"/>
            <w:tcBorders>
              <w:top w:val="nil"/>
              <w:left w:val="nil"/>
              <w:bottom w:val="single" w:sz="8" w:space="0" w:color="auto"/>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2780" w:type="dxa"/>
            <w:tcBorders>
              <w:top w:val="nil"/>
              <w:left w:val="nil"/>
              <w:bottom w:val="single" w:sz="8" w:space="0" w:color="auto"/>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620" w:type="dxa"/>
            <w:tcBorders>
              <w:top w:val="nil"/>
              <w:left w:val="nil"/>
              <w:bottom w:val="single" w:sz="8" w:space="0" w:color="auto"/>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480" w:type="dxa"/>
            <w:tcBorders>
              <w:top w:val="nil"/>
              <w:left w:val="nil"/>
              <w:bottom w:val="single" w:sz="8" w:space="0" w:color="auto"/>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340" w:type="dxa"/>
            <w:tcBorders>
              <w:top w:val="nil"/>
              <w:left w:val="nil"/>
              <w:bottom w:val="single" w:sz="8" w:space="0" w:color="auto"/>
              <w:right w:val="nil"/>
            </w:tcBorders>
            <w:shd w:val="clear" w:color="auto" w:fill="7F7F7F"/>
            <w:vAlign w:val="bottom"/>
          </w:tcPr>
          <w:p w:rsidR="00F72CEF" w:rsidRPr="007D0796" w:rsidRDefault="00F72CEF" w:rsidP="00933A35">
            <w:pPr>
              <w:widowControl w:val="0"/>
              <w:autoSpaceDE w:val="0"/>
              <w:autoSpaceDN w:val="0"/>
              <w:adjustRightInd w:val="0"/>
              <w:spacing w:after="0" w:line="240" w:lineRule="auto"/>
              <w:rPr>
                <w:rFonts w:ascii="Times New Roman" w:hAnsi="Times New Roman"/>
                <w:sz w:val="18"/>
                <w:szCs w:val="18"/>
              </w:rPr>
            </w:pPr>
          </w:p>
        </w:tc>
        <w:tc>
          <w:tcPr>
            <w:tcW w:w="120" w:type="dxa"/>
            <w:tcBorders>
              <w:top w:val="nil"/>
              <w:left w:val="nil"/>
              <w:bottom w:val="single" w:sz="8" w:space="0" w:color="auto"/>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933A35">
        <w:trPr>
          <w:trHeight w:val="263"/>
        </w:trPr>
        <w:tc>
          <w:tcPr>
            <w:tcW w:w="120" w:type="dxa"/>
            <w:tcBorders>
              <w:top w:val="single" w:sz="8" w:space="0" w:color="F79646"/>
              <w:left w:val="single" w:sz="8" w:space="0" w:color="auto"/>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780" w:type="dxa"/>
            <w:tcBorders>
              <w:top w:val="single" w:sz="8" w:space="0" w:color="F79646"/>
              <w:left w:val="nil"/>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2780" w:type="dxa"/>
            <w:tcBorders>
              <w:top w:val="single" w:sz="8" w:space="0" w:color="F79646"/>
              <w:left w:val="nil"/>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60" w:lineRule="exact"/>
              <w:ind w:left="1320"/>
              <w:rPr>
                <w:rFonts w:ascii="Times New Roman" w:hAnsi="Times New Roman"/>
                <w:sz w:val="24"/>
                <w:szCs w:val="24"/>
              </w:rPr>
            </w:pPr>
            <w:r w:rsidRPr="00481167">
              <w:rPr>
                <w:rFonts w:cs="Calibri"/>
              </w:rPr>
              <w:t>1</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1620" w:type="dxa"/>
            <w:tcBorders>
              <w:top w:val="single" w:sz="8" w:space="0" w:color="F79646"/>
              <w:left w:val="nil"/>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60" w:lineRule="exact"/>
              <w:ind w:right="650"/>
              <w:jc w:val="right"/>
              <w:rPr>
                <w:rFonts w:ascii="Times New Roman" w:hAnsi="Times New Roman"/>
                <w:sz w:val="24"/>
                <w:szCs w:val="24"/>
              </w:rPr>
            </w:pPr>
            <w:r w:rsidRPr="00481167">
              <w:rPr>
                <w:rFonts w:cs="Calibri"/>
              </w:rPr>
              <w:t>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1480" w:type="dxa"/>
            <w:tcBorders>
              <w:top w:val="single" w:sz="8" w:space="0" w:color="F79646"/>
              <w:left w:val="nil"/>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60" w:lineRule="exact"/>
              <w:ind w:right="570"/>
              <w:jc w:val="right"/>
              <w:rPr>
                <w:rFonts w:ascii="Times New Roman" w:hAnsi="Times New Roman"/>
                <w:sz w:val="24"/>
                <w:szCs w:val="24"/>
              </w:rPr>
            </w:pPr>
            <w:r w:rsidRPr="00481167">
              <w:rPr>
                <w:rFonts w:cs="Calibri"/>
              </w:rPr>
              <w:t>3</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1340" w:type="dxa"/>
            <w:tcBorders>
              <w:top w:val="single" w:sz="8" w:space="0" w:color="F79646"/>
              <w:left w:val="nil"/>
              <w:bottom w:val="single" w:sz="8" w:space="0" w:color="auto"/>
              <w:right w:val="nil"/>
            </w:tcBorders>
            <w:shd w:val="clear" w:color="auto" w:fill="F79646"/>
            <w:vAlign w:val="bottom"/>
          </w:tcPr>
          <w:p w:rsidR="00F72CEF" w:rsidRPr="00481167" w:rsidRDefault="00F72CEF" w:rsidP="00933A35">
            <w:pPr>
              <w:widowControl w:val="0"/>
              <w:autoSpaceDE w:val="0"/>
              <w:autoSpaceDN w:val="0"/>
              <w:adjustRightInd w:val="0"/>
              <w:spacing w:after="0" w:line="260" w:lineRule="exact"/>
              <w:ind w:right="30"/>
              <w:jc w:val="right"/>
              <w:rPr>
                <w:rFonts w:ascii="Times New Roman" w:hAnsi="Times New Roman"/>
                <w:sz w:val="24"/>
                <w:szCs w:val="24"/>
              </w:rPr>
            </w:pPr>
            <w:r w:rsidRPr="00481167">
              <w:rPr>
                <w:rFonts w:cs="Calibri"/>
              </w:rPr>
              <w:t>4 (3/2*100)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933A35">
        <w:trPr>
          <w:trHeight w:val="288"/>
        </w:trPr>
        <w:tc>
          <w:tcPr>
            <w:tcW w:w="900" w:type="dxa"/>
            <w:gridSpan w:val="2"/>
            <w:tcBorders>
              <w:top w:val="nil"/>
              <w:left w:val="single" w:sz="8" w:space="0" w:color="auto"/>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ind w:left="10"/>
              <w:jc w:val="center"/>
              <w:rPr>
                <w:rFonts w:asciiTheme="minorHAnsi" w:hAnsiTheme="minorHAnsi"/>
                <w:sz w:val="24"/>
                <w:szCs w:val="24"/>
              </w:rPr>
            </w:pPr>
            <w:r w:rsidRPr="00C47CD5">
              <w:rPr>
                <w:rFonts w:asciiTheme="minorHAnsi" w:hAnsiTheme="minorHAnsi" w:cs="Calibri"/>
              </w:rPr>
              <w:t>1.</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2900" w:type="dxa"/>
            <w:gridSpan w:val="2"/>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r w:rsidRPr="00C47CD5">
              <w:rPr>
                <w:rFonts w:asciiTheme="minorHAnsi" w:hAnsiTheme="minorHAnsi"/>
                <w:sz w:val="24"/>
                <w:szCs w:val="24"/>
              </w:rPr>
              <w:t>Prosječan broj radnika</w:t>
            </w:r>
          </w:p>
        </w:tc>
        <w:tc>
          <w:tcPr>
            <w:tcW w:w="1720" w:type="dxa"/>
            <w:gridSpan w:val="2"/>
            <w:tcBorders>
              <w:top w:val="nil"/>
              <w:left w:val="nil"/>
              <w:bottom w:val="single" w:sz="8" w:space="0" w:color="auto"/>
              <w:right w:val="nil"/>
            </w:tcBorders>
            <w:vAlign w:val="bottom"/>
          </w:tcPr>
          <w:p w:rsidR="00F72CEF" w:rsidRPr="00C47CD5" w:rsidRDefault="00EA4438" w:rsidP="00D52113">
            <w:pPr>
              <w:widowControl w:val="0"/>
              <w:autoSpaceDE w:val="0"/>
              <w:autoSpaceDN w:val="0"/>
              <w:adjustRightInd w:val="0"/>
              <w:spacing w:after="0" w:line="240" w:lineRule="auto"/>
              <w:ind w:left="100"/>
              <w:jc w:val="center"/>
              <w:rPr>
                <w:rFonts w:asciiTheme="minorHAnsi" w:hAnsiTheme="minorHAnsi"/>
                <w:sz w:val="24"/>
                <w:szCs w:val="24"/>
              </w:rPr>
            </w:pPr>
            <w:r w:rsidRPr="00C47CD5">
              <w:rPr>
                <w:rFonts w:asciiTheme="minorHAnsi" w:hAnsiTheme="minorHAnsi"/>
                <w:sz w:val="24"/>
                <w:szCs w:val="24"/>
              </w:rPr>
              <w:t>200</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1580" w:type="dxa"/>
            <w:gridSpan w:val="2"/>
            <w:tcBorders>
              <w:top w:val="nil"/>
              <w:left w:val="nil"/>
              <w:bottom w:val="single" w:sz="8" w:space="0" w:color="auto"/>
              <w:right w:val="nil"/>
            </w:tcBorders>
            <w:vAlign w:val="bottom"/>
          </w:tcPr>
          <w:p w:rsidR="00F72CEF" w:rsidRPr="00C47CD5" w:rsidRDefault="00F25CCB" w:rsidP="00D52113">
            <w:pPr>
              <w:widowControl w:val="0"/>
              <w:autoSpaceDE w:val="0"/>
              <w:autoSpaceDN w:val="0"/>
              <w:adjustRightInd w:val="0"/>
              <w:spacing w:after="0" w:line="240" w:lineRule="auto"/>
              <w:ind w:left="100"/>
              <w:jc w:val="center"/>
              <w:rPr>
                <w:rFonts w:asciiTheme="minorHAnsi" w:hAnsiTheme="minorHAnsi"/>
                <w:sz w:val="24"/>
                <w:szCs w:val="24"/>
              </w:rPr>
            </w:pPr>
            <w:r w:rsidRPr="00C47CD5">
              <w:rPr>
                <w:rFonts w:asciiTheme="minorHAnsi" w:hAnsiTheme="minorHAnsi"/>
                <w:sz w:val="24"/>
                <w:szCs w:val="24"/>
              </w:rPr>
              <w:t>19</w:t>
            </w:r>
            <w:r w:rsidR="00D52113" w:rsidRPr="00C47CD5">
              <w:rPr>
                <w:rFonts w:asciiTheme="minorHAnsi" w:hAnsiTheme="minorHAnsi"/>
                <w:sz w:val="24"/>
                <w:szCs w:val="24"/>
              </w:rPr>
              <w:t>7</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1440" w:type="dxa"/>
            <w:gridSpan w:val="2"/>
            <w:tcBorders>
              <w:top w:val="nil"/>
              <w:left w:val="nil"/>
              <w:bottom w:val="single" w:sz="8" w:space="0" w:color="auto"/>
              <w:right w:val="nil"/>
            </w:tcBorders>
            <w:vAlign w:val="bottom"/>
          </w:tcPr>
          <w:p w:rsidR="00F72CEF" w:rsidRPr="00C47CD5" w:rsidRDefault="00E44EC1" w:rsidP="00E44EC1">
            <w:pPr>
              <w:widowControl w:val="0"/>
              <w:autoSpaceDE w:val="0"/>
              <w:autoSpaceDN w:val="0"/>
              <w:adjustRightInd w:val="0"/>
              <w:spacing w:after="0" w:line="240" w:lineRule="auto"/>
              <w:ind w:left="100"/>
              <w:jc w:val="center"/>
              <w:rPr>
                <w:rFonts w:asciiTheme="minorHAnsi" w:hAnsiTheme="minorHAnsi"/>
                <w:sz w:val="24"/>
                <w:szCs w:val="24"/>
              </w:rPr>
            </w:pPr>
            <w:r w:rsidRPr="00C47CD5">
              <w:rPr>
                <w:rFonts w:asciiTheme="minorHAnsi" w:hAnsiTheme="minorHAnsi"/>
                <w:sz w:val="24"/>
                <w:szCs w:val="24"/>
              </w:rPr>
              <w:t>98,5</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933A35">
        <w:trPr>
          <w:trHeight w:val="290"/>
        </w:trPr>
        <w:tc>
          <w:tcPr>
            <w:tcW w:w="900" w:type="dxa"/>
            <w:gridSpan w:val="2"/>
            <w:tcBorders>
              <w:top w:val="nil"/>
              <w:left w:val="single" w:sz="8" w:space="0" w:color="auto"/>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ind w:left="10"/>
              <w:jc w:val="center"/>
              <w:rPr>
                <w:rFonts w:asciiTheme="minorHAnsi" w:hAnsiTheme="minorHAnsi"/>
                <w:sz w:val="24"/>
                <w:szCs w:val="24"/>
              </w:rPr>
            </w:pPr>
            <w:r w:rsidRPr="00C47CD5">
              <w:rPr>
                <w:rFonts w:asciiTheme="minorHAnsi" w:hAnsiTheme="minorHAnsi" w:cs="Calibri"/>
              </w:rPr>
              <w:t>2.</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2900" w:type="dxa"/>
            <w:gridSpan w:val="2"/>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r w:rsidRPr="00C47CD5">
              <w:rPr>
                <w:rFonts w:asciiTheme="minorHAnsi" w:hAnsiTheme="minorHAnsi"/>
                <w:sz w:val="24"/>
                <w:szCs w:val="24"/>
              </w:rPr>
              <w:t>Prosječna neto plaća</w:t>
            </w:r>
          </w:p>
        </w:tc>
        <w:tc>
          <w:tcPr>
            <w:tcW w:w="1720" w:type="dxa"/>
            <w:gridSpan w:val="2"/>
            <w:tcBorders>
              <w:top w:val="nil"/>
              <w:left w:val="nil"/>
              <w:bottom w:val="single" w:sz="8" w:space="0" w:color="auto"/>
              <w:right w:val="nil"/>
            </w:tcBorders>
            <w:vAlign w:val="bottom"/>
          </w:tcPr>
          <w:p w:rsidR="00F72CEF" w:rsidRPr="00C47CD5" w:rsidRDefault="00F72CEF" w:rsidP="00D52113">
            <w:pPr>
              <w:widowControl w:val="0"/>
              <w:autoSpaceDE w:val="0"/>
              <w:autoSpaceDN w:val="0"/>
              <w:adjustRightInd w:val="0"/>
              <w:spacing w:after="0" w:line="240" w:lineRule="auto"/>
              <w:ind w:left="100"/>
              <w:jc w:val="center"/>
              <w:rPr>
                <w:rFonts w:asciiTheme="minorHAnsi" w:hAnsiTheme="minorHAnsi"/>
                <w:sz w:val="24"/>
                <w:szCs w:val="24"/>
              </w:rPr>
            </w:pPr>
            <w:r w:rsidRPr="00C47CD5">
              <w:rPr>
                <w:rFonts w:asciiTheme="minorHAnsi" w:hAnsiTheme="minorHAnsi"/>
                <w:sz w:val="24"/>
                <w:szCs w:val="24"/>
              </w:rPr>
              <w:t>4.284,13</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1580" w:type="dxa"/>
            <w:gridSpan w:val="2"/>
            <w:tcBorders>
              <w:top w:val="nil"/>
              <w:left w:val="nil"/>
              <w:bottom w:val="single" w:sz="8" w:space="0" w:color="auto"/>
              <w:right w:val="nil"/>
            </w:tcBorders>
            <w:vAlign w:val="bottom"/>
          </w:tcPr>
          <w:p w:rsidR="00F72CEF" w:rsidRPr="00C47CD5" w:rsidRDefault="00E44EC1" w:rsidP="00D52113">
            <w:pPr>
              <w:widowControl w:val="0"/>
              <w:autoSpaceDE w:val="0"/>
              <w:autoSpaceDN w:val="0"/>
              <w:adjustRightInd w:val="0"/>
              <w:spacing w:after="0" w:line="240" w:lineRule="auto"/>
              <w:ind w:left="100"/>
              <w:jc w:val="center"/>
              <w:rPr>
                <w:rFonts w:asciiTheme="minorHAnsi" w:hAnsiTheme="minorHAnsi"/>
                <w:sz w:val="24"/>
                <w:szCs w:val="24"/>
              </w:rPr>
            </w:pPr>
            <w:r w:rsidRPr="00C47CD5">
              <w:rPr>
                <w:rFonts w:asciiTheme="minorHAnsi" w:hAnsiTheme="minorHAnsi"/>
                <w:sz w:val="24"/>
                <w:szCs w:val="24"/>
              </w:rPr>
              <w:t>4.586,21</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1440" w:type="dxa"/>
            <w:gridSpan w:val="2"/>
            <w:tcBorders>
              <w:top w:val="nil"/>
              <w:left w:val="nil"/>
              <w:bottom w:val="single" w:sz="8" w:space="0" w:color="auto"/>
              <w:right w:val="nil"/>
            </w:tcBorders>
            <w:vAlign w:val="bottom"/>
          </w:tcPr>
          <w:p w:rsidR="00F72CEF" w:rsidRPr="00C47CD5" w:rsidRDefault="00E44EC1" w:rsidP="00E44EC1">
            <w:pPr>
              <w:widowControl w:val="0"/>
              <w:autoSpaceDE w:val="0"/>
              <w:autoSpaceDN w:val="0"/>
              <w:adjustRightInd w:val="0"/>
              <w:spacing w:after="0" w:line="240" w:lineRule="auto"/>
              <w:ind w:left="100"/>
              <w:jc w:val="center"/>
              <w:rPr>
                <w:rFonts w:asciiTheme="minorHAnsi" w:hAnsiTheme="minorHAnsi"/>
                <w:sz w:val="24"/>
                <w:szCs w:val="24"/>
              </w:rPr>
            </w:pPr>
            <w:r w:rsidRPr="00C47CD5">
              <w:rPr>
                <w:rFonts w:asciiTheme="minorHAnsi" w:hAnsiTheme="minorHAnsi"/>
                <w:sz w:val="24"/>
                <w:szCs w:val="24"/>
              </w:rPr>
              <w:t>107,05</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933A35">
        <w:trPr>
          <w:trHeight w:val="320"/>
        </w:trPr>
        <w:tc>
          <w:tcPr>
            <w:tcW w:w="900" w:type="dxa"/>
            <w:gridSpan w:val="2"/>
            <w:tcBorders>
              <w:top w:val="nil"/>
              <w:left w:val="single" w:sz="8" w:space="0" w:color="auto"/>
              <w:bottom w:val="single" w:sz="8" w:space="0" w:color="auto"/>
              <w:right w:val="nil"/>
            </w:tcBorders>
            <w:vAlign w:val="bottom"/>
          </w:tcPr>
          <w:p w:rsidR="00F72CEF" w:rsidRPr="00C47CD5" w:rsidRDefault="00F72CEF" w:rsidP="00933A35">
            <w:pPr>
              <w:widowControl w:val="0"/>
              <w:autoSpaceDE w:val="0"/>
              <w:autoSpaceDN w:val="0"/>
              <w:adjustRightInd w:val="0"/>
              <w:spacing w:after="0" w:line="267" w:lineRule="exact"/>
              <w:ind w:left="10"/>
              <w:jc w:val="center"/>
              <w:rPr>
                <w:rFonts w:asciiTheme="minorHAnsi" w:hAnsiTheme="minorHAnsi"/>
                <w:sz w:val="24"/>
                <w:szCs w:val="24"/>
              </w:rPr>
            </w:pPr>
            <w:r w:rsidRPr="00C47CD5">
              <w:rPr>
                <w:rFonts w:asciiTheme="minorHAnsi" w:hAnsiTheme="minorHAnsi" w:cs="Calibri"/>
              </w:rPr>
              <w:t>3.</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2900" w:type="dxa"/>
            <w:gridSpan w:val="2"/>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67" w:lineRule="exact"/>
              <w:rPr>
                <w:rFonts w:asciiTheme="minorHAnsi" w:hAnsiTheme="minorHAnsi"/>
                <w:sz w:val="24"/>
                <w:szCs w:val="24"/>
              </w:rPr>
            </w:pPr>
            <w:r w:rsidRPr="00C47CD5">
              <w:rPr>
                <w:rFonts w:asciiTheme="minorHAnsi" w:hAnsiTheme="minorHAnsi"/>
                <w:sz w:val="24"/>
                <w:szCs w:val="24"/>
              </w:rPr>
              <w:t>Prosječna bruto plaća</w:t>
            </w:r>
          </w:p>
        </w:tc>
        <w:tc>
          <w:tcPr>
            <w:tcW w:w="1720" w:type="dxa"/>
            <w:gridSpan w:val="2"/>
            <w:tcBorders>
              <w:top w:val="nil"/>
              <w:left w:val="nil"/>
              <w:bottom w:val="single" w:sz="8" w:space="0" w:color="auto"/>
              <w:right w:val="nil"/>
            </w:tcBorders>
            <w:vAlign w:val="bottom"/>
          </w:tcPr>
          <w:p w:rsidR="00F72CEF" w:rsidRPr="00C47CD5" w:rsidRDefault="00F72CEF" w:rsidP="00D52113">
            <w:pPr>
              <w:widowControl w:val="0"/>
              <w:autoSpaceDE w:val="0"/>
              <w:autoSpaceDN w:val="0"/>
              <w:adjustRightInd w:val="0"/>
              <w:spacing w:after="0" w:line="267" w:lineRule="exact"/>
              <w:ind w:left="100"/>
              <w:jc w:val="center"/>
              <w:rPr>
                <w:rFonts w:asciiTheme="minorHAnsi" w:hAnsiTheme="minorHAnsi"/>
                <w:sz w:val="24"/>
                <w:szCs w:val="24"/>
              </w:rPr>
            </w:pPr>
            <w:r w:rsidRPr="00C47CD5">
              <w:rPr>
                <w:rFonts w:asciiTheme="minorHAnsi" w:hAnsiTheme="minorHAnsi"/>
                <w:sz w:val="24"/>
                <w:szCs w:val="24"/>
              </w:rPr>
              <w:t>5.469,45</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1580" w:type="dxa"/>
            <w:gridSpan w:val="2"/>
            <w:tcBorders>
              <w:top w:val="nil"/>
              <w:left w:val="nil"/>
              <w:bottom w:val="single" w:sz="8" w:space="0" w:color="auto"/>
              <w:right w:val="nil"/>
            </w:tcBorders>
            <w:vAlign w:val="bottom"/>
          </w:tcPr>
          <w:p w:rsidR="00F72CEF" w:rsidRPr="00C47CD5" w:rsidRDefault="00E44EC1" w:rsidP="00D52113">
            <w:pPr>
              <w:widowControl w:val="0"/>
              <w:autoSpaceDE w:val="0"/>
              <w:autoSpaceDN w:val="0"/>
              <w:adjustRightInd w:val="0"/>
              <w:spacing w:after="0" w:line="267" w:lineRule="exact"/>
              <w:ind w:left="100"/>
              <w:jc w:val="center"/>
              <w:rPr>
                <w:rFonts w:asciiTheme="minorHAnsi" w:hAnsiTheme="minorHAnsi"/>
                <w:sz w:val="24"/>
                <w:szCs w:val="24"/>
              </w:rPr>
            </w:pPr>
            <w:r w:rsidRPr="00C47CD5">
              <w:rPr>
                <w:rFonts w:asciiTheme="minorHAnsi" w:hAnsiTheme="minorHAnsi"/>
                <w:sz w:val="24"/>
                <w:szCs w:val="24"/>
              </w:rPr>
              <w:t>6.033,48</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sz w:val="24"/>
                <w:szCs w:val="24"/>
              </w:rPr>
            </w:pPr>
          </w:p>
        </w:tc>
        <w:tc>
          <w:tcPr>
            <w:tcW w:w="1440" w:type="dxa"/>
            <w:gridSpan w:val="2"/>
            <w:tcBorders>
              <w:top w:val="nil"/>
              <w:left w:val="nil"/>
              <w:bottom w:val="single" w:sz="8" w:space="0" w:color="auto"/>
              <w:right w:val="nil"/>
            </w:tcBorders>
            <w:vAlign w:val="bottom"/>
          </w:tcPr>
          <w:p w:rsidR="00F72CEF" w:rsidRPr="00C47CD5" w:rsidRDefault="00E44EC1" w:rsidP="00E44EC1">
            <w:pPr>
              <w:widowControl w:val="0"/>
              <w:autoSpaceDE w:val="0"/>
              <w:autoSpaceDN w:val="0"/>
              <w:adjustRightInd w:val="0"/>
              <w:spacing w:after="0" w:line="267" w:lineRule="exact"/>
              <w:ind w:left="100"/>
              <w:jc w:val="center"/>
              <w:rPr>
                <w:rFonts w:asciiTheme="minorHAnsi" w:hAnsiTheme="minorHAnsi"/>
                <w:sz w:val="24"/>
                <w:szCs w:val="24"/>
              </w:rPr>
            </w:pPr>
            <w:r w:rsidRPr="00C47CD5">
              <w:rPr>
                <w:rFonts w:asciiTheme="minorHAnsi" w:hAnsiTheme="minorHAnsi"/>
                <w:sz w:val="24"/>
                <w:szCs w:val="24"/>
              </w:rPr>
              <w:t>110,31</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933A35">
        <w:trPr>
          <w:trHeight w:val="263"/>
        </w:trPr>
        <w:tc>
          <w:tcPr>
            <w:tcW w:w="120" w:type="dxa"/>
            <w:tcBorders>
              <w:top w:val="single" w:sz="8" w:space="0" w:color="F79646"/>
              <w:left w:val="single" w:sz="8" w:space="0" w:color="auto"/>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78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78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60" w:lineRule="exact"/>
              <w:rPr>
                <w:rFonts w:asciiTheme="minorHAnsi" w:hAnsiTheme="minorHAnsi"/>
                <w:b/>
                <w:sz w:val="24"/>
                <w:szCs w:val="24"/>
              </w:rPr>
            </w:pPr>
            <w:r w:rsidRPr="00C47CD5">
              <w:rPr>
                <w:rFonts w:asciiTheme="minorHAnsi" w:hAnsiTheme="minorHAnsi"/>
                <w:b/>
                <w:sz w:val="24"/>
                <w:szCs w:val="24"/>
              </w:rPr>
              <w:t>Ukupni troškovi osoblja</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F72CEF" w:rsidRPr="00C47CD5" w:rsidRDefault="00F72CEF" w:rsidP="00D52113">
            <w:pPr>
              <w:widowControl w:val="0"/>
              <w:autoSpaceDE w:val="0"/>
              <w:autoSpaceDN w:val="0"/>
              <w:adjustRightInd w:val="0"/>
              <w:spacing w:after="0" w:line="240" w:lineRule="auto"/>
              <w:jc w:val="center"/>
              <w:rPr>
                <w:rFonts w:asciiTheme="minorHAnsi" w:hAnsiTheme="minorHAnsi"/>
                <w:sz w:val="24"/>
                <w:szCs w:val="24"/>
              </w:rPr>
            </w:pPr>
          </w:p>
        </w:tc>
        <w:tc>
          <w:tcPr>
            <w:tcW w:w="1620" w:type="dxa"/>
            <w:tcBorders>
              <w:top w:val="single" w:sz="8" w:space="0" w:color="F79646"/>
              <w:left w:val="nil"/>
              <w:bottom w:val="single" w:sz="8" w:space="0" w:color="auto"/>
              <w:right w:val="nil"/>
            </w:tcBorders>
            <w:shd w:val="clear" w:color="auto" w:fill="F79646"/>
            <w:vAlign w:val="bottom"/>
          </w:tcPr>
          <w:p w:rsidR="00F72CEF" w:rsidRPr="00C47CD5" w:rsidRDefault="00F72CEF" w:rsidP="00D52113">
            <w:pPr>
              <w:widowControl w:val="0"/>
              <w:autoSpaceDE w:val="0"/>
              <w:autoSpaceDN w:val="0"/>
              <w:adjustRightInd w:val="0"/>
              <w:spacing w:after="0" w:line="260" w:lineRule="exact"/>
              <w:jc w:val="center"/>
              <w:rPr>
                <w:rFonts w:asciiTheme="minorHAnsi" w:hAnsiTheme="minorHAnsi"/>
                <w:b/>
                <w:sz w:val="24"/>
                <w:szCs w:val="24"/>
              </w:rPr>
            </w:pPr>
            <w:r w:rsidRPr="00C47CD5">
              <w:rPr>
                <w:rFonts w:asciiTheme="minorHAnsi" w:hAnsiTheme="minorHAnsi"/>
                <w:b/>
                <w:sz w:val="24"/>
                <w:szCs w:val="24"/>
              </w:rPr>
              <w:t>16.041.134</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F72CEF" w:rsidRPr="00C47CD5" w:rsidRDefault="00F72CEF" w:rsidP="00D52113">
            <w:pPr>
              <w:widowControl w:val="0"/>
              <w:autoSpaceDE w:val="0"/>
              <w:autoSpaceDN w:val="0"/>
              <w:adjustRightInd w:val="0"/>
              <w:spacing w:after="0" w:line="240" w:lineRule="auto"/>
              <w:jc w:val="center"/>
              <w:rPr>
                <w:rFonts w:asciiTheme="minorHAnsi" w:hAnsiTheme="minorHAnsi"/>
              </w:rPr>
            </w:pPr>
          </w:p>
        </w:tc>
        <w:tc>
          <w:tcPr>
            <w:tcW w:w="1480" w:type="dxa"/>
            <w:tcBorders>
              <w:top w:val="single" w:sz="8" w:space="0" w:color="F79646"/>
              <w:left w:val="nil"/>
              <w:bottom w:val="single" w:sz="8" w:space="0" w:color="auto"/>
              <w:right w:val="nil"/>
            </w:tcBorders>
            <w:shd w:val="clear" w:color="auto" w:fill="F79646"/>
            <w:vAlign w:val="bottom"/>
          </w:tcPr>
          <w:p w:rsidR="00F72CEF" w:rsidRPr="00C47CD5" w:rsidRDefault="00D52113" w:rsidP="00D52113">
            <w:pPr>
              <w:widowControl w:val="0"/>
              <w:autoSpaceDE w:val="0"/>
              <w:autoSpaceDN w:val="0"/>
              <w:adjustRightInd w:val="0"/>
              <w:spacing w:after="0" w:line="260" w:lineRule="exact"/>
              <w:jc w:val="center"/>
              <w:rPr>
                <w:rFonts w:asciiTheme="minorHAnsi" w:hAnsiTheme="minorHAnsi"/>
                <w:b/>
                <w:sz w:val="24"/>
                <w:szCs w:val="24"/>
              </w:rPr>
            </w:pPr>
            <w:r w:rsidRPr="00C47CD5">
              <w:rPr>
                <w:rFonts w:asciiTheme="minorHAnsi" w:hAnsiTheme="minorHAnsi"/>
                <w:b/>
                <w:sz w:val="24"/>
                <w:szCs w:val="24"/>
              </w:rPr>
              <w:t>16.810.143</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F72CEF" w:rsidRPr="00C47CD5" w:rsidRDefault="00F72CEF" w:rsidP="00E44EC1">
            <w:pPr>
              <w:widowControl w:val="0"/>
              <w:autoSpaceDE w:val="0"/>
              <w:autoSpaceDN w:val="0"/>
              <w:adjustRightInd w:val="0"/>
              <w:spacing w:after="0" w:line="240" w:lineRule="auto"/>
              <w:jc w:val="center"/>
              <w:rPr>
                <w:rFonts w:asciiTheme="minorHAnsi" w:hAnsiTheme="minorHAnsi"/>
              </w:rPr>
            </w:pPr>
          </w:p>
        </w:tc>
        <w:tc>
          <w:tcPr>
            <w:tcW w:w="1340" w:type="dxa"/>
            <w:tcBorders>
              <w:top w:val="single" w:sz="8" w:space="0" w:color="F79646"/>
              <w:left w:val="nil"/>
              <w:bottom w:val="single" w:sz="8" w:space="0" w:color="auto"/>
              <w:right w:val="nil"/>
            </w:tcBorders>
            <w:shd w:val="clear" w:color="auto" w:fill="F79646"/>
            <w:vAlign w:val="bottom"/>
          </w:tcPr>
          <w:p w:rsidR="00F72CEF" w:rsidRPr="00C47CD5" w:rsidRDefault="00E44EC1" w:rsidP="00E44EC1">
            <w:pPr>
              <w:widowControl w:val="0"/>
              <w:autoSpaceDE w:val="0"/>
              <w:autoSpaceDN w:val="0"/>
              <w:adjustRightInd w:val="0"/>
              <w:spacing w:after="0" w:line="260" w:lineRule="exact"/>
              <w:jc w:val="center"/>
              <w:rPr>
                <w:rFonts w:asciiTheme="minorHAnsi" w:hAnsiTheme="minorHAnsi"/>
                <w:b/>
                <w:sz w:val="24"/>
                <w:szCs w:val="24"/>
              </w:rPr>
            </w:pPr>
            <w:r w:rsidRPr="00C47CD5">
              <w:rPr>
                <w:rFonts w:asciiTheme="minorHAnsi" w:hAnsiTheme="minorHAnsi"/>
                <w:b/>
                <w:sz w:val="24"/>
                <w:szCs w:val="24"/>
              </w:rPr>
              <w:t>104,80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bl>
    <w:p w:rsidR="00F72CEF" w:rsidRDefault="00F72CEF" w:rsidP="00F72CEF">
      <w:pPr>
        <w:widowControl w:val="0"/>
        <w:autoSpaceDE w:val="0"/>
        <w:autoSpaceDN w:val="0"/>
        <w:adjustRightInd w:val="0"/>
        <w:spacing w:after="0" w:line="240" w:lineRule="auto"/>
        <w:ind w:left="40"/>
        <w:rPr>
          <w:rFonts w:ascii="Times New Roman" w:hAnsi="Times New Roman"/>
          <w:sz w:val="24"/>
          <w:szCs w:val="24"/>
        </w:rPr>
      </w:pPr>
    </w:p>
    <w:p w:rsidR="007A0CDB" w:rsidRDefault="00F72CEF" w:rsidP="003844F4">
      <w:pPr>
        <w:widowControl w:val="0"/>
        <w:overflowPunct w:val="0"/>
        <w:autoSpaceDE w:val="0"/>
        <w:autoSpaceDN w:val="0"/>
        <w:adjustRightInd w:val="0"/>
        <w:spacing w:after="0" w:line="240" w:lineRule="auto"/>
        <w:jc w:val="both"/>
        <w:rPr>
          <w:rFonts w:ascii="Times New Roman" w:hAnsi="Times New Roman"/>
          <w:sz w:val="24"/>
          <w:szCs w:val="24"/>
        </w:rPr>
      </w:pPr>
      <w:r w:rsidRPr="00F72CEF">
        <w:rPr>
          <w:rFonts w:ascii="Times New Roman" w:hAnsi="Times New Roman"/>
          <w:sz w:val="24"/>
          <w:szCs w:val="24"/>
        </w:rPr>
        <w:t>Analizom</w:t>
      </w:r>
      <w:r w:rsidR="00E44EC1">
        <w:rPr>
          <w:rFonts w:ascii="Times New Roman" w:hAnsi="Times New Roman"/>
          <w:sz w:val="24"/>
          <w:szCs w:val="24"/>
        </w:rPr>
        <w:t xml:space="preserve"> tablice zaključuje se blagi rast</w:t>
      </w:r>
      <w:r w:rsidRPr="00F72CEF">
        <w:rPr>
          <w:rFonts w:ascii="Times New Roman" w:hAnsi="Times New Roman"/>
          <w:sz w:val="24"/>
          <w:szCs w:val="24"/>
        </w:rPr>
        <w:t xml:space="preserve"> </w:t>
      </w:r>
      <w:r w:rsidR="00373272">
        <w:rPr>
          <w:rFonts w:ascii="Times New Roman" w:hAnsi="Times New Roman"/>
          <w:sz w:val="24"/>
          <w:szCs w:val="24"/>
        </w:rPr>
        <w:t>prosječne bruto i neto plać</w:t>
      </w:r>
      <w:r w:rsidR="00E44EC1">
        <w:rPr>
          <w:rFonts w:ascii="Times New Roman" w:hAnsi="Times New Roman"/>
          <w:sz w:val="24"/>
          <w:szCs w:val="24"/>
        </w:rPr>
        <w:t>e u 2015. Razlike u prosječnim plać</w:t>
      </w:r>
      <w:r w:rsidRPr="00F72CEF">
        <w:rPr>
          <w:rFonts w:ascii="Times New Roman" w:hAnsi="Times New Roman"/>
          <w:sz w:val="24"/>
          <w:szCs w:val="24"/>
        </w:rPr>
        <w:t xml:space="preserve">ama u promatranom razdoblju zabilježile su </w:t>
      </w:r>
      <w:r w:rsidR="00E44EC1">
        <w:rPr>
          <w:rFonts w:ascii="Times New Roman" w:hAnsi="Times New Roman"/>
          <w:sz w:val="24"/>
          <w:szCs w:val="24"/>
        </w:rPr>
        <w:t>rast</w:t>
      </w:r>
      <w:r w:rsidRPr="00F72CEF">
        <w:rPr>
          <w:rFonts w:ascii="Times New Roman" w:hAnsi="Times New Roman"/>
          <w:sz w:val="24"/>
          <w:szCs w:val="24"/>
        </w:rPr>
        <w:t xml:space="preserve"> od </w:t>
      </w:r>
      <w:r w:rsidR="00E44EC1">
        <w:rPr>
          <w:rFonts w:ascii="Times New Roman" w:hAnsi="Times New Roman"/>
          <w:sz w:val="24"/>
          <w:szCs w:val="24"/>
        </w:rPr>
        <w:t>4</w:t>
      </w:r>
      <w:r w:rsidRPr="00F72CEF">
        <w:rPr>
          <w:rFonts w:ascii="Times New Roman" w:hAnsi="Times New Roman"/>
          <w:sz w:val="24"/>
          <w:szCs w:val="24"/>
        </w:rPr>
        <w:t xml:space="preserve">% što je ponajprije rezultat </w:t>
      </w:r>
      <w:r w:rsidR="007D0796">
        <w:rPr>
          <w:rFonts w:ascii="Times New Roman" w:hAnsi="Times New Roman"/>
          <w:sz w:val="24"/>
          <w:szCs w:val="24"/>
        </w:rPr>
        <w:t xml:space="preserve">primjene nove osnovice prema novom kolektivnom ugovoru </w:t>
      </w:r>
      <w:r w:rsidR="002D2F1C">
        <w:rPr>
          <w:rFonts w:ascii="Times New Roman" w:hAnsi="Times New Roman"/>
          <w:sz w:val="24"/>
          <w:szCs w:val="24"/>
        </w:rPr>
        <w:t>sa socijalnim partnerima</w:t>
      </w:r>
      <w:r w:rsidRPr="00F72CEF">
        <w:rPr>
          <w:rFonts w:ascii="Times New Roman" w:hAnsi="Times New Roman"/>
          <w:sz w:val="24"/>
          <w:szCs w:val="24"/>
        </w:rPr>
        <w:t>.</w:t>
      </w:r>
    </w:p>
    <w:p w:rsidR="00E05046" w:rsidRDefault="00E05046" w:rsidP="003844F4">
      <w:pPr>
        <w:widowControl w:val="0"/>
        <w:overflowPunct w:val="0"/>
        <w:autoSpaceDE w:val="0"/>
        <w:autoSpaceDN w:val="0"/>
        <w:adjustRightInd w:val="0"/>
        <w:spacing w:after="0" w:line="240" w:lineRule="auto"/>
        <w:jc w:val="both"/>
        <w:rPr>
          <w:rFonts w:cs="Calibri"/>
          <w:b/>
          <w:i/>
          <w:sz w:val="32"/>
          <w:szCs w:val="32"/>
        </w:rPr>
      </w:pPr>
    </w:p>
    <w:p w:rsidR="00F72CEF" w:rsidRPr="007A0CDB" w:rsidRDefault="00F72CEF" w:rsidP="003844F4">
      <w:pPr>
        <w:widowControl w:val="0"/>
        <w:overflowPunct w:val="0"/>
        <w:autoSpaceDE w:val="0"/>
        <w:autoSpaceDN w:val="0"/>
        <w:adjustRightInd w:val="0"/>
        <w:spacing w:after="0" w:line="240" w:lineRule="auto"/>
        <w:jc w:val="both"/>
        <w:rPr>
          <w:rFonts w:ascii="Times New Roman" w:hAnsi="Times New Roman"/>
          <w:sz w:val="24"/>
          <w:szCs w:val="24"/>
        </w:rPr>
      </w:pPr>
      <w:r w:rsidRPr="003844F4">
        <w:rPr>
          <w:rFonts w:cs="Calibri"/>
          <w:b/>
          <w:i/>
          <w:sz w:val="32"/>
          <w:szCs w:val="32"/>
        </w:rPr>
        <w:lastRenderedPageBreak/>
        <w:t>Zaposleni prema vrsti ugovora o radu</w:t>
      </w:r>
    </w:p>
    <w:p w:rsidR="00F72CEF" w:rsidRDefault="00F72CEF"/>
    <w:p w:rsidR="003844F4" w:rsidRPr="003844F4" w:rsidRDefault="003844F4" w:rsidP="003844F4">
      <w:pPr>
        <w:jc w:val="both"/>
        <w:rPr>
          <w:rFonts w:ascii="Times New Roman" w:hAnsi="Times New Roman"/>
          <w:sz w:val="24"/>
          <w:szCs w:val="24"/>
        </w:rPr>
      </w:pPr>
      <w:r w:rsidRPr="003844F4">
        <w:rPr>
          <w:rFonts w:ascii="Times New Roman" w:hAnsi="Times New Roman"/>
          <w:sz w:val="24"/>
          <w:szCs w:val="24"/>
        </w:rPr>
        <w:t xml:space="preserve">Tablica 4. U nastavku prikazuje strukturu zaposlenih po odjelima i vrsti ugovora o radu. Razdioba se odnosi na 11 odjela, svrstanih po nadcestarijama i cestarijama, mehanizaciju i radionu te zajedničke službe pod kojima se podrazumijeva odjel  ekonomsko-financijske  i kadrovske službe, ured direktora, ured nabave te održavanje i operativa. </w:t>
      </w:r>
    </w:p>
    <w:p w:rsidR="00F72CEF" w:rsidRDefault="00F72CEF" w:rsidP="00F72CEF">
      <w:pPr>
        <w:widowControl w:val="0"/>
        <w:autoSpaceDE w:val="0"/>
        <w:autoSpaceDN w:val="0"/>
        <w:adjustRightInd w:val="0"/>
        <w:spacing w:after="0" w:line="239" w:lineRule="auto"/>
        <w:ind w:left="120"/>
        <w:rPr>
          <w:rFonts w:ascii="Times New Roman" w:hAnsi="Times New Roman"/>
          <w:sz w:val="24"/>
          <w:szCs w:val="24"/>
        </w:rPr>
      </w:pPr>
      <w:r>
        <w:rPr>
          <w:rFonts w:cs="Calibri"/>
          <w:b/>
          <w:bCs/>
        </w:rPr>
        <w:t>Tablica 4. Struktura zaposlenih po odjelima i vrsti ugovora o radu</w:t>
      </w:r>
    </w:p>
    <w:tbl>
      <w:tblPr>
        <w:tblW w:w="9230" w:type="dxa"/>
        <w:tblInd w:w="10" w:type="dxa"/>
        <w:tblLayout w:type="fixed"/>
        <w:tblCellMar>
          <w:left w:w="0" w:type="dxa"/>
          <w:right w:w="0" w:type="dxa"/>
        </w:tblCellMar>
        <w:tblLook w:val="0000" w:firstRow="0" w:lastRow="0" w:firstColumn="0" w:lastColumn="0" w:noHBand="0" w:noVBand="0"/>
      </w:tblPr>
      <w:tblGrid>
        <w:gridCol w:w="120"/>
        <w:gridCol w:w="880"/>
        <w:gridCol w:w="120"/>
        <w:gridCol w:w="100"/>
        <w:gridCol w:w="2440"/>
        <w:gridCol w:w="120"/>
        <w:gridCol w:w="100"/>
        <w:gridCol w:w="1240"/>
        <w:gridCol w:w="120"/>
        <w:gridCol w:w="100"/>
        <w:gridCol w:w="1040"/>
        <w:gridCol w:w="140"/>
        <w:gridCol w:w="80"/>
        <w:gridCol w:w="1200"/>
        <w:gridCol w:w="140"/>
        <w:gridCol w:w="80"/>
        <w:gridCol w:w="1060"/>
        <w:gridCol w:w="120"/>
        <w:gridCol w:w="30"/>
      </w:tblGrid>
      <w:tr w:rsidR="00F72CEF" w:rsidRPr="00481167" w:rsidTr="008E4681">
        <w:trPr>
          <w:trHeight w:val="192"/>
        </w:trPr>
        <w:tc>
          <w:tcPr>
            <w:tcW w:w="120" w:type="dxa"/>
            <w:tcBorders>
              <w:top w:val="single" w:sz="8" w:space="0" w:color="auto"/>
              <w:left w:val="single" w:sz="8" w:space="0" w:color="auto"/>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880" w:type="dxa"/>
            <w:vMerge w:val="restart"/>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67" w:lineRule="exact"/>
              <w:ind w:left="100"/>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0" w:type="dxa"/>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2440" w:type="dxa"/>
            <w:vMerge w:val="restart"/>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67" w:lineRule="exact"/>
              <w:ind w:left="660"/>
              <w:rPr>
                <w:rFonts w:ascii="Times New Roman" w:hAnsi="Times New Roman"/>
                <w:sz w:val="24"/>
                <w:szCs w:val="24"/>
              </w:rPr>
            </w:pPr>
            <w:r w:rsidRPr="00481167">
              <w:rPr>
                <w:rFonts w:cs="Calibri"/>
                <w:b/>
                <w:bCs/>
                <w:color w:val="FFFFFF"/>
              </w:rPr>
              <w:t>Naziv odjela</w:t>
            </w:r>
          </w:p>
        </w:tc>
        <w:tc>
          <w:tcPr>
            <w:tcW w:w="120" w:type="dxa"/>
            <w:tcBorders>
              <w:top w:val="single" w:sz="8" w:space="0" w:color="auto"/>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0" w:type="dxa"/>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40" w:type="dxa"/>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0" w:type="dxa"/>
            <w:tcBorders>
              <w:top w:val="single" w:sz="8" w:space="0" w:color="auto"/>
              <w:left w:val="nil"/>
              <w:bottom w:val="nil"/>
              <w:right w:val="single" w:sz="8" w:space="0" w:color="7F7F7F"/>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0" w:type="dxa"/>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40" w:type="dxa"/>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40" w:type="dxa"/>
            <w:tcBorders>
              <w:top w:val="single" w:sz="8" w:space="0" w:color="auto"/>
              <w:left w:val="nil"/>
              <w:bottom w:val="nil"/>
              <w:right w:val="single" w:sz="8" w:space="0" w:color="7F7F7F"/>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80" w:type="dxa"/>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00" w:type="dxa"/>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40" w:type="dxa"/>
            <w:tcBorders>
              <w:top w:val="single" w:sz="8" w:space="0" w:color="auto"/>
              <w:left w:val="nil"/>
              <w:bottom w:val="nil"/>
              <w:right w:val="single" w:sz="8" w:space="0" w:color="7F7F7F"/>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80" w:type="dxa"/>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60" w:type="dxa"/>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0" w:type="dxa"/>
            <w:tcBorders>
              <w:top w:val="single" w:sz="8" w:space="0" w:color="auto"/>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179"/>
        </w:trPr>
        <w:tc>
          <w:tcPr>
            <w:tcW w:w="120" w:type="dxa"/>
            <w:tcBorders>
              <w:top w:val="nil"/>
              <w:left w:val="single" w:sz="8" w:space="0" w:color="auto"/>
              <w:bottom w:val="single" w:sz="8" w:space="0" w:color="7F7F7F"/>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880" w:type="dxa"/>
            <w:vMerge/>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7F7F7F"/>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7F7F7F"/>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2440" w:type="dxa"/>
            <w:vMerge/>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7F7F7F"/>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24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7F7F7F"/>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40" w:type="dxa"/>
            <w:tcBorders>
              <w:top w:val="nil"/>
              <w:left w:val="nil"/>
              <w:bottom w:val="single" w:sz="8" w:space="0" w:color="auto"/>
              <w:right w:val="single" w:sz="8" w:space="0" w:color="7F7F7F"/>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20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40" w:type="dxa"/>
            <w:tcBorders>
              <w:top w:val="nil"/>
              <w:left w:val="nil"/>
              <w:bottom w:val="single" w:sz="8" w:space="0" w:color="auto"/>
              <w:right w:val="single" w:sz="8" w:space="0" w:color="7F7F7F"/>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06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74"/>
        </w:trPr>
        <w:tc>
          <w:tcPr>
            <w:tcW w:w="120" w:type="dxa"/>
            <w:tcBorders>
              <w:top w:val="single" w:sz="8" w:space="0" w:color="7F7F7F"/>
              <w:left w:val="single" w:sz="8" w:space="0" w:color="auto"/>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880" w:type="dxa"/>
            <w:vMerge/>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120" w:type="dxa"/>
            <w:tcBorders>
              <w:top w:val="single" w:sz="8" w:space="0" w:color="7F7F7F"/>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100" w:type="dxa"/>
            <w:tcBorders>
              <w:top w:val="single" w:sz="8" w:space="0" w:color="7F7F7F"/>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2440" w:type="dxa"/>
            <w:vMerge/>
            <w:tcBorders>
              <w:top w:val="single" w:sz="8" w:space="0" w:color="auto"/>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120" w:type="dxa"/>
            <w:tcBorders>
              <w:top w:val="single" w:sz="8" w:space="0" w:color="7F7F7F"/>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100" w:type="dxa"/>
            <w:tcBorders>
              <w:top w:val="single" w:sz="8" w:space="0" w:color="7F7F7F"/>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1240" w:type="dxa"/>
            <w:vMerge w:val="restart"/>
            <w:tcBorders>
              <w:top w:val="single" w:sz="8" w:space="0" w:color="7F7F7F"/>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60" w:lineRule="exact"/>
              <w:ind w:left="40"/>
              <w:rPr>
                <w:rFonts w:ascii="Times New Roman" w:hAnsi="Times New Roman"/>
                <w:sz w:val="24"/>
                <w:szCs w:val="24"/>
              </w:rPr>
            </w:pPr>
            <w:r w:rsidRPr="00481167">
              <w:rPr>
                <w:rFonts w:cs="Calibri"/>
                <w:b/>
                <w:bCs/>
                <w:color w:val="FFFFFF"/>
              </w:rPr>
              <w:t>Neodređeno</w:t>
            </w:r>
          </w:p>
        </w:tc>
        <w:tc>
          <w:tcPr>
            <w:tcW w:w="120" w:type="dxa"/>
            <w:tcBorders>
              <w:top w:val="single" w:sz="8" w:space="0" w:color="7F7F7F"/>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100" w:type="dxa"/>
            <w:tcBorders>
              <w:top w:val="single" w:sz="8" w:space="0" w:color="7F7F7F"/>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1040" w:type="dxa"/>
            <w:vMerge w:val="restart"/>
            <w:tcBorders>
              <w:top w:val="single" w:sz="8" w:space="0" w:color="7F7F7F"/>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b/>
                <w:bCs/>
                <w:color w:val="FFFFFF"/>
                <w:w w:val="99"/>
              </w:rPr>
              <w:t>%</w:t>
            </w:r>
          </w:p>
        </w:tc>
        <w:tc>
          <w:tcPr>
            <w:tcW w:w="140" w:type="dxa"/>
            <w:tcBorders>
              <w:top w:val="single" w:sz="8" w:space="0" w:color="7F7F7F"/>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80" w:type="dxa"/>
            <w:tcBorders>
              <w:top w:val="single" w:sz="8" w:space="0" w:color="7F7F7F"/>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1200" w:type="dxa"/>
            <w:vMerge w:val="restart"/>
            <w:tcBorders>
              <w:top w:val="single" w:sz="8" w:space="0" w:color="7F7F7F"/>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b/>
                <w:bCs/>
                <w:color w:val="FFFFFF"/>
                <w:w w:val="99"/>
              </w:rPr>
              <w:t>Određeno</w:t>
            </w:r>
          </w:p>
        </w:tc>
        <w:tc>
          <w:tcPr>
            <w:tcW w:w="140" w:type="dxa"/>
            <w:tcBorders>
              <w:top w:val="single" w:sz="8" w:space="0" w:color="7F7F7F"/>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80" w:type="dxa"/>
            <w:tcBorders>
              <w:top w:val="single" w:sz="8" w:space="0" w:color="7F7F7F"/>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1060" w:type="dxa"/>
            <w:vMerge w:val="restart"/>
            <w:tcBorders>
              <w:top w:val="single" w:sz="8" w:space="0" w:color="7F7F7F"/>
              <w:left w:val="nil"/>
              <w:bottom w:val="nil"/>
              <w:right w:val="nil"/>
            </w:tcBorders>
            <w:shd w:val="clear" w:color="auto" w:fill="7F7F7F"/>
            <w:vAlign w:val="bottom"/>
          </w:tcPr>
          <w:p w:rsidR="00F72CEF" w:rsidRPr="00481167" w:rsidRDefault="00F72CEF"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b/>
                <w:bCs/>
                <w:color w:val="FFFFFF"/>
                <w:w w:val="99"/>
              </w:rPr>
              <w:t>%</w:t>
            </w:r>
          </w:p>
        </w:tc>
        <w:tc>
          <w:tcPr>
            <w:tcW w:w="120" w:type="dxa"/>
            <w:tcBorders>
              <w:top w:val="single" w:sz="8" w:space="0" w:color="7F7F7F"/>
              <w:left w:val="nil"/>
              <w:bottom w:val="nil"/>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190"/>
        </w:trPr>
        <w:tc>
          <w:tcPr>
            <w:tcW w:w="120" w:type="dxa"/>
            <w:tcBorders>
              <w:top w:val="nil"/>
              <w:left w:val="single" w:sz="8" w:space="0" w:color="auto"/>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88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244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40" w:type="dxa"/>
            <w:vMerge/>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40" w:type="dxa"/>
            <w:vMerge/>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40" w:type="dxa"/>
            <w:tcBorders>
              <w:top w:val="nil"/>
              <w:left w:val="nil"/>
              <w:bottom w:val="single" w:sz="8" w:space="0" w:color="auto"/>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00" w:type="dxa"/>
            <w:vMerge/>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40" w:type="dxa"/>
            <w:tcBorders>
              <w:top w:val="nil"/>
              <w:left w:val="nil"/>
              <w:bottom w:val="single" w:sz="8" w:space="0" w:color="auto"/>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80" w:type="dxa"/>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060" w:type="dxa"/>
            <w:vMerge/>
            <w:tcBorders>
              <w:top w:val="nil"/>
              <w:left w:val="nil"/>
              <w:bottom w:val="single" w:sz="8" w:space="0" w:color="auto"/>
              <w:right w:val="nil"/>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120" w:type="dxa"/>
            <w:tcBorders>
              <w:top w:val="nil"/>
              <w:left w:val="nil"/>
              <w:bottom w:val="single" w:sz="8" w:space="0" w:color="auto"/>
              <w:right w:val="single" w:sz="8" w:space="0" w:color="auto"/>
            </w:tcBorders>
            <w:shd w:val="clear" w:color="auto" w:fill="7F7F7F"/>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2"/>
        </w:trPr>
        <w:tc>
          <w:tcPr>
            <w:tcW w:w="1000" w:type="dxa"/>
            <w:gridSpan w:val="2"/>
            <w:tcBorders>
              <w:top w:val="nil"/>
              <w:left w:val="single" w:sz="8" w:space="0" w:color="auto"/>
              <w:bottom w:val="single" w:sz="8" w:space="0" w:color="auto"/>
              <w:right w:val="nil"/>
            </w:tcBorders>
            <w:vAlign w:val="bottom"/>
          </w:tcPr>
          <w:p w:rsidR="00F72CEF" w:rsidRPr="00C47CD5" w:rsidRDefault="00F72CEF" w:rsidP="00933A35">
            <w:pPr>
              <w:widowControl w:val="0"/>
              <w:autoSpaceDE w:val="0"/>
              <w:autoSpaceDN w:val="0"/>
              <w:adjustRightInd w:val="0"/>
              <w:spacing w:after="0" w:line="267" w:lineRule="exact"/>
              <w:ind w:left="10"/>
              <w:jc w:val="center"/>
              <w:rPr>
                <w:rFonts w:asciiTheme="minorHAnsi" w:hAnsiTheme="minorHAnsi"/>
              </w:rPr>
            </w:pPr>
            <w:r w:rsidRPr="00C47CD5">
              <w:rPr>
                <w:rFonts w:asciiTheme="minorHAnsi" w:hAnsiTheme="minorHAnsi"/>
                <w:w w:val="95"/>
              </w:rPr>
              <w:t>1.</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8E4681" w:rsidP="00933A35">
            <w:pPr>
              <w:widowControl w:val="0"/>
              <w:autoSpaceDE w:val="0"/>
              <w:autoSpaceDN w:val="0"/>
              <w:adjustRightInd w:val="0"/>
              <w:spacing w:after="0" w:line="267" w:lineRule="exact"/>
              <w:rPr>
                <w:rFonts w:asciiTheme="minorHAnsi" w:hAnsiTheme="minorHAnsi"/>
              </w:rPr>
            </w:pPr>
            <w:r w:rsidRPr="00C47CD5">
              <w:rPr>
                <w:rFonts w:asciiTheme="minorHAnsi" w:hAnsiTheme="minorHAnsi"/>
              </w:rPr>
              <w:t>Zajedničke službe</w:t>
            </w:r>
          </w:p>
        </w:tc>
        <w:tc>
          <w:tcPr>
            <w:tcW w:w="1340" w:type="dxa"/>
            <w:gridSpan w:val="2"/>
            <w:tcBorders>
              <w:top w:val="nil"/>
              <w:left w:val="nil"/>
              <w:bottom w:val="single" w:sz="8" w:space="0" w:color="auto"/>
              <w:right w:val="nil"/>
            </w:tcBorders>
            <w:vAlign w:val="bottom"/>
          </w:tcPr>
          <w:p w:rsidR="00F72CEF" w:rsidRPr="00C47CD5" w:rsidRDefault="008E4681"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rPr>
              <w:t>31</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7E0D05"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rPr>
              <w:t>15,66</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nil"/>
              <w:left w:val="nil"/>
              <w:bottom w:val="single" w:sz="8" w:space="0" w:color="auto"/>
              <w:right w:val="nil"/>
            </w:tcBorders>
            <w:vAlign w:val="bottom"/>
          </w:tcPr>
          <w:p w:rsidR="00F72CEF" w:rsidRPr="00C47CD5" w:rsidRDefault="00F72CEF" w:rsidP="00D56EF2">
            <w:pPr>
              <w:widowControl w:val="0"/>
              <w:autoSpaceDE w:val="0"/>
              <w:autoSpaceDN w:val="0"/>
              <w:adjustRightInd w:val="0"/>
              <w:spacing w:after="0" w:line="240" w:lineRule="auto"/>
              <w:jc w:val="center"/>
              <w:rPr>
                <w:rFonts w:asciiTheme="minorHAnsi" w:hAnsiTheme="minorHAnsi"/>
              </w:rPr>
            </w:pP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nil"/>
              <w:left w:val="nil"/>
              <w:bottom w:val="single" w:sz="8" w:space="0" w:color="auto"/>
              <w:right w:val="nil"/>
            </w:tcBorders>
            <w:vAlign w:val="bottom"/>
          </w:tcPr>
          <w:p w:rsidR="00F72CEF" w:rsidRPr="00C47CD5" w:rsidRDefault="00F72CEF" w:rsidP="007E0D05">
            <w:pPr>
              <w:widowControl w:val="0"/>
              <w:autoSpaceDE w:val="0"/>
              <w:autoSpaceDN w:val="0"/>
              <w:adjustRightInd w:val="0"/>
              <w:spacing w:after="0" w:line="240" w:lineRule="auto"/>
              <w:jc w:val="center"/>
              <w:rPr>
                <w:rFonts w:asciiTheme="minorHAnsi" w:hAnsiTheme="minorHAnsi"/>
              </w:rPr>
            </w:pP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4"/>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67" w:lineRule="exact"/>
              <w:ind w:left="10"/>
              <w:jc w:val="center"/>
              <w:rPr>
                <w:rFonts w:asciiTheme="minorHAnsi" w:hAnsiTheme="minorHAnsi"/>
              </w:rPr>
            </w:pPr>
            <w:r w:rsidRPr="00C47CD5">
              <w:rPr>
                <w:rFonts w:asciiTheme="minorHAnsi" w:hAnsiTheme="minorHAnsi"/>
                <w:w w:val="95"/>
              </w:rPr>
              <w:t>2.</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67" w:lineRule="exact"/>
              <w:rPr>
                <w:rFonts w:asciiTheme="minorHAnsi" w:hAnsiTheme="minorHAnsi"/>
              </w:rPr>
            </w:pPr>
            <w:r w:rsidRPr="00C47CD5">
              <w:rPr>
                <w:rFonts w:asciiTheme="minorHAnsi" w:hAnsiTheme="minorHAnsi"/>
              </w:rPr>
              <w:t>Nadcestar</w:t>
            </w:r>
            <w:r w:rsidR="00D56EF2" w:rsidRPr="00C47CD5">
              <w:rPr>
                <w:rFonts w:asciiTheme="minorHAnsi" w:hAnsiTheme="minorHAnsi"/>
              </w:rPr>
              <w:t>ija Gospić</w:t>
            </w:r>
          </w:p>
        </w:tc>
        <w:tc>
          <w:tcPr>
            <w:tcW w:w="1340" w:type="dxa"/>
            <w:gridSpan w:val="2"/>
            <w:tcBorders>
              <w:top w:val="nil"/>
              <w:left w:val="nil"/>
              <w:bottom w:val="single" w:sz="8" w:space="0" w:color="auto"/>
              <w:right w:val="nil"/>
            </w:tcBorders>
            <w:vAlign w:val="bottom"/>
          </w:tcPr>
          <w:p w:rsidR="00F72CEF" w:rsidRPr="00C47CD5" w:rsidRDefault="0067525A"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rPr>
              <w:t>29</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7E0D05"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rPr>
              <w:t>14,65</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nil"/>
              <w:left w:val="nil"/>
              <w:bottom w:val="single" w:sz="8" w:space="0" w:color="auto"/>
              <w:right w:val="nil"/>
            </w:tcBorders>
            <w:vAlign w:val="bottom"/>
          </w:tcPr>
          <w:p w:rsidR="00F72CEF" w:rsidRPr="00C47CD5" w:rsidRDefault="00D56EF2" w:rsidP="00D56EF2">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2</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nil"/>
              <w:left w:val="nil"/>
              <w:bottom w:val="single" w:sz="8" w:space="0" w:color="auto"/>
              <w:right w:val="nil"/>
            </w:tcBorders>
            <w:vAlign w:val="bottom"/>
          </w:tcPr>
          <w:p w:rsidR="00F72CEF" w:rsidRPr="00C47CD5" w:rsidRDefault="007E0D05" w:rsidP="007E0D0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1,00</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4"/>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67" w:lineRule="exact"/>
              <w:ind w:left="10"/>
              <w:jc w:val="center"/>
              <w:rPr>
                <w:rFonts w:asciiTheme="minorHAnsi" w:hAnsiTheme="minorHAnsi"/>
              </w:rPr>
            </w:pPr>
            <w:r w:rsidRPr="00C47CD5">
              <w:rPr>
                <w:rFonts w:asciiTheme="minorHAnsi" w:hAnsiTheme="minorHAnsi"/>
              </w:rPr>
              <w:t>3.</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67525A" w:rsidP="00933A35">
            <w:pPr>
              <w:widowControl w:val="0"/>
              <w:autoSpaceDE w:val="0"/>
              <w:autoSpaceDN w:val="0"/>
              <w:adjustRightInd w:val="0"/>
              <w:spacing w:after="0" w:line="267" w:lineRule="exact"/>
              <w:rPr>
                <w:rFonts w:asciiTheme="minorHAnsi" w:hAnsiTheme="minorHAnsi"/>
              </w:rPr>
            </w:pPr>
            <w:r w:rsidRPr="00C47CD5">
              <w:rPr>
                <w:rFonts w:asciiTheme="minorHAnsi" w:hAnsiTheme="minorHAnsi"/>
              </w:rPr>
              <w:t>Cestarija Karlobag</w:t>
            </w:r>
          </w:p>
        </w:tc>
        <w:tc>
          <w:tcPr>
            <w:tcW w:w="1340" w:type="dxa"/>
            <w:gridSpan w:val="2"/>
            <w:tcBorders>
              <w:top w:val="nil"/>
              <w:left w:val="nil"/>
              <w:bottom w:val="single" w:sz="8" w:space="0" w:color="auto"/>
              <w:right w:val="nil"/>
            </w:tcBorders>
            <w:vAlign w:val="bottom"/>
          </w:tcPr>
          <w:p w:rsidR="00F72CEF" w:rsidRPr="00C47CD5" w:rsidRDefault="00373272"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rPr>
              <w:t>9</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7E0D05"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rPr>
              <w:t>4,55</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nil"/>
              <w:left w:val="nil"/>
              <w:bottom w:val="single" w:sz="8" w:space="0" w:color="auto"/>
              <w:right w:val="nil"/>
            </w:tcBorders>
            <w:vAlign w:val="bottom"/>
          </w:tcPr>
          <w:p w:rsidR="00F72CEF" w:rsidRPr="00C47CD5" w:rsidRDefault="0067525A" w:rsidP="00D56EF2">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2</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nil"/>
              <w:left w:val="nil"/>
              <w:bottom w:val="single" w:sz="8" w:space="0" w:color="auto"/>
              <w:right w:val="nil"/>
            </w:tcBorders>
            <w:vAlign w:val="bottom"/>
          </w:tcPr>
          <w:p w:rsidR="00F72CEF" w:rsidRPr="00C47CD5" w:rsidRDefault="007E0D05" w:rsidP="007E0D0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1,00</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2"/>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67" w:lineRule="exact"/>
              <w:ind w:left="10"/>
              <w:jc w:val="center"/>
              <w:rPr>
                <w:rFonts w:asciiTheme="minorHAnsi" w:hAnsiTheme="minorHAnsi"/>
              </w:rPr>
            </w:pPr>
            <w:r w:rsidRPr="00C47CD5">
              <w:rPr>
                <w:rFonts w:asciiTheme="minorHAnsi" w:hAnsiTheme="minorHAnsi"/>
                <w:w w:val="95"/>
              </w:rPr>
              <w:t>4.</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67525A" w:rsidP="00933A35">
            <w:pPr>
              <w:widowControl w:val="0"/>
              <w:autoSpaceDE w:val="0"/>
              <w:autoSpaceDN w:val="0"/>
              <w:adjustRightInd w:val="0"/>
              <w:spacing w:after="0" w:line="267" w:lineRule="exact"/>
              <w:rPr>
                <w:rFonts w:asciiTheme="minorHAnsi" w:hAnsiTheme="minorHAnsi"/>
              </w:rPr>
            </w:pPr>
            <w:r w:rsidRPr="00C47CD5">
              <w:rPr>
                <w:rFonts w:asciiTheme="minorHAnsi" w:hAnsiTheme="minorHAnsi"/>
              </w:rPr>
              <w:t>Cestarija Novalja</w:t>
            </w:r>
          </w:p>
        </w:tc>
        <w:tc>
          <w:tcPr>
            <w:tcW w:w="1340" w:type="dxa"/>
            <w:gridSpan w:val="2"/>
            <w:tcBorders>
              <w:top w:val="nil"/>
              <w:left w:val="nil"/>
              <w:bottom w:val="single" w:sz="8" w:space="0" w:color="auto"/>
              <w:right w:val="nil"/>
            </w:tcBorders>
            <w:vAlign w:val="bottom"/>
          </w:tcPr>
          <w:p w:rsidR="00F72CEF" w:rsidRPr="00C47CD5" w:rsidRDefault="0067525A"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rPr>
              <w:t>2</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7E0D05"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rPr>
              <w:t>1,01</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nil"/>
              <w:left w:val="nil"/>
              <w:bottom w:val="single" w:sz="8" w:space="0" w:color="auto"/>
              <w:right w:val="nil"/>
            </w:tcBorders>
            <w:vAlign w:val="bottom"/>
          </w:tcPr>
          <w:p w:rsidR="00F72CEF" w:rsidRPr="00C47CD5" w:rsidRDefault="00F72CEF" w:rsidP="00D56EF2">
            <w:pPr>
              <w:widowControl w:val="0"/>
              <w:autoSpaceDE w:val="0"/>
              <w:autoSpaceDN w:val="0"/>
              <w:adjustRightInd w:val="0"/>
              <w:spacing w:after="0" w:line="240" w:lineRule="auto"/>
              <w:jc w:val="center"/>
              <w:rPr>
                <w:rFonts w:asciiTheme="minorHAnsi" w:hAnsiTheme="minorHAnsi"/>
              </w:rPr>
            </w:pP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nil"/>
              <w:left w:val="nil"/>
              <w:bottom w:val="single" w:sz="8" w:space="0" w:color="auto"/>
              <w:right w:val="nil"/>
            </w:tcBorders>
            <w:vAlign w:val="bottom"/>
          </w:tcPr>
          <w:p w:rsidR="00F72CEF" w:rsidRPr="00C47CD5" w:rsidRDefault="00F72CEF" w:rsidP="007E0D05">
            <w:pPr>
              <w:widowControl w:val="0"/>
              <w:autoSpaceDE w:val="0"/>
              <w:autoSpaceDN w:val="0"/>
              <w:adjustRightInd w:val="0"/>
              <w:spacing w:after="0" w:line="240" w:lineRule="auto"/>
              <w:jc w:val="center"/>
              <w:rPr>
                <w:rFonts w:asciiTheme="minorHAnsi" w:hAnsiTheme="minorHAnsi"/>
              </w:rPr>
            </w:pP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2"/>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67" w:lineRule="exact"/>
              <w:ind w:left="10"/>
              <w:jc w:val="center"/>
              <w:rPr>
                <w:rFonts w:asciiTheme="minorHAnsi" w:hAnsiTheme="minorHAnsi"/>
              </w:rPr>
            </w:pPr>
            <w:r w:rsidRPr="00C47CD5">
              <w:rPr>
                <w:rFonts w:asciiTheme="minorHAnsi" w:hAnsiTheme="minorHAnsi"/>
                <w:w w:val="95"/>
              </w:rPr>
              <w:t>5.</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67525A" w:rsidP="00933A35">
            <w:pPr>
              <w:widowControl w:val="0"/>
              <w:autoSpaceDE w:val="0"/>
              <w:autoSpaceDN w:val="0"/>
              <w:adjustRightInd w:val="0"/>
              <w:spacing w:after="0" w:line="267" w:lineRule="exact"/>
              <w:rPr>
                <w:rFonts w:asciiTheme="minorHAnsi" w:hAnsiTheme="minorHAnsi"/>
              </w:rPr>
            </w:pPr>
            <w:r w:rsidRPr="00C47CD5">
              <w:rPr>
                <w:rFonts w:asciiTheme="minorHAnsi" w:hAnsiTheme="minorHAnsi"/>
              </w:rPr>
              <w:t>Nadcestarija Otočac</w:t>
            </w:r>
          </w:p>
        </w:tc>
        <w:tc>
          <w:tcPr>
            <w:tcW w:w="1340" w:type="dxa"/>
            <w:gridSpan w:val="2"/>
            <w:tcBorders>
              <w:top w:val="nil"/>
              <w:left w:val="nil"/>
              <w:bottom w:val="single" w:sz="8" w:space="0" w:color="auto"/>
              <w:right w:val="nil"/>
            </w:tcBorders>
            <w:vAlign w:val="bottom"/>
          </w:tcPr>
          <w:p w:rsidR="00F72CEF" w:rsidRPr="00C47CD5" w:rsidRDefault="0067525A"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rPr>
              <w:t>21</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7E0D05"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rPr>
              <w:t>10,61</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nil"/>
              <w:left w:val="nil"/>
              <w:bottom w:val="single" w:sz="8" w:space="0" w:color="auto"/>
              <w:right w:val="nil"/>
            </w:tcBorders>
            <w:vAlign w:val="bottom"/>
          </w:tcPr>
          <w:p w:rsidR="00F72CEF" w:rsidRPr="00C47CD5" w:rsidRDefault="00F72CEF" w:rsidP="00D56EF2">
            <w:pPr>
              <w:widowControl w:val="0"/>
              <w:autoSpaceDE w:val="0"/>
              <w:autoSpaceDN w:val="0"/>
              <w:adjustRightInd w:val="0"/>
              <w:spacing w:after="0" w:line="240" w:lineRule="auto"/>
              <w:jc w:val="center"/>
              <w:rPr>
                <w:rFonts w:asciiTheme="minorHAnsi" w:hAnsiTheme="minorHAnsi"/>
              </w:rPr>
            </w:pP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nil"/>
              <w:left w:val="nil"/>
              <w:bottom w:val="single" w:sz="8" w:space="0" w:color="auto"/>
              <w:right w:val="nil"/>
            </w:tcBorders>
            <w:vAlign w:val="bottom"/>
          </w:tcPr>
          <w:p w:rsidR="00F72CEF" w:rsidRPr="00C47CD5" w:rsidRDefault="00F72CEF" w:rsidP="007E0D05">
            <w:pPr>
              <w:widowControl w:val="0"/>
              <w:autoSpaceDE w:val="0"/>
              <w:autoSpaceDN w:val="0"/>
              <w:adjustRightInd w:val="0"/>
              <w:spacing w:after="0" w:line="240" w:lineRule="auto"/>
              <w:jc w:val="center"/>
              <w:rPr>
                <w:rFonts w:asciiTheme="minorHAnsi" w:hAnsiTheme="minorHAnsi"/>
              </w:rPr>
            </w:pP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4"/>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67" w:lineRule="exact"/>
              <w:ind w:left="10"/>
              <w:jc w:val="center"/>
              <w:rPr>
                <w:rFonts w:asciiTheme="minorHAnsi" w:hAnsiTheme="minorHAnsi"/>
              </w:rPr>
            </w:pPr>
            <w:r w:rsidRPr="00C47CD5">
              <w:rPr>
                <w:rFonts w:asciiTheme="minorHAnsi" w:hAnsiTheme="minorHAnsi"/>
                <w:w w:val="95"/>
              </w:rPr>
              <w:t>6.</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67525A" w:rsidP="00933A35">
            <w:pPr>
              <w:widowControl w:val="0"/>
              <w:autoSpaceDE w:val="0"/>
              <w:autoSpaceDN w:val="0"/>
              <w:adjustRightInd w:val="0"/>
              <w:spacing w:after="0" w:line="267" w:lineRule="exact"/>
              <w:rPr>
                <w:rFonts w:asciiTheme="minorHAnsi" w:hAnsiTheme="minorHAnsi"/>
              </w:rPr>
            </w:pPr>
            <w:r w:rsidRPr="00C47CD5">
              <w:rPr>
                <w:rFonts w:asciiTheme="minorHAnsi" w:hAnsiTheme="minorHAnsi"/>
              </w:rPr>
              <w:t>Cestarija Jezerane</w:t>
            </w:r>
          </w:p>
        </w:tc>
        <w:tc>
          <w:tcPr>
            <w:tcW w:w="1340" w:type="dxa"/>
            <w:gridSpan w:val="2"/>
            <w:tcBorders>
              <w:top w:val="nil"/>
              <w:left w:val="nil"/>
              <w:bottom w:val="single" w:sz="8" w:space="0" w:color="auto"/>
              <w:right w:val="nil"/>
            </w:tcBorders>
            <w:vAlign w:val="bottom"/>
          </w:tcPr>
          <w:p w:rsidR="00F72CEF" w:rsidRPr="00C47CD5" w:rsidRDefault="0067525A"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rPr>
              <w:t>13</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7E0D05"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rPr>
              <w:t>6,57</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80" w:type="dxa"/>
            <w:gridSpan w:val="2"/>
            <w:tcBorders>
              <w:top w:val="nil"/>
              <w:left w:val="nil"/>
              <w:bottom w:val="single" w:sz="8" w:space="0" w:color="auto"/>
              <w:right w:val="nil"/>
            </w:tcBorders>
            <w:vAlign w:val="bottom"/>
          </w:tcPr>
          <w:p w:rsidR="00F72CEF" w:rsidRPr="00C47CD5" w:rsidRDefault="00F72CEF" w:rsidP="00D56EF2">
            <w:pPr>
              <w:widowControl w:val="0"/>
              <w:autoSpaceDE w:val="0"/>
              <w:autoSpaceDN w:val="0"/>
              <w:adjustRightInd w:val="0"/>
              <w:spacing w:after="0" w:line="267" w:lineRule="exact"/>
              <w:jc w:val="center"/>
              <w:rPr>
                <w:rFonts w:asciiTheme="minorHAnsi" w:hAnsiTheme="minorHAnsi"/>
              </w:rPr>
            </w:pP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F72CEF" w:rsidP="007E0D05">
            <w:pPr>
              <w:widowControl w:val="0"/>
              <w:autoSpaceDE w:val="0"/>
              <w:autoSpaceDN w:val="0"/>
              <w:adjustRightInd w:val="0"/>
              <w:spacing w:after="0" w:line="267" w:lineRule="exact"/>
              <w:jc w:val="center"/>
              <w:rPr>
                <w:rFonts w:asciiTheme="minorHAnsi" w:hAnsiTheme="minorHAnsi"/>
              </w:rPr>
            </w:pP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4"/>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40" w:lineRule="auto"/>
              <w:ind w:left="10"/>
              <w:jc w:val="center"/>
              <w:rPr>
                <w:rFonts w:asciiTheme="minorHAnsi" w:hAnsiTheme="minorHAnsi"/>
              </w:rPr>
            </w:pPr>
            <w:r w:rsidRPr="00C47CD5">
              <w:rPr>
                <w:rFonts w:asciiTheme="minorHAnsi" w:hAnsiTheme="minorHAnsi"/>
                <w:w w:val="95"/>
              </w:rPr>
              <w:t>7</w:t>
            </w:r>
            <w:r w:rsidR="00F72CEF" w:rsidRPr="00C47CD5">
              <w:rPr>
                <w:rFonts w:asciiTheme="minorHAnsi" w:hAnsiTheme="minorHAnsi"/>
                <w:w w:val="95"/>
              </w:rPr>
              <w:t>.</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67525A" w:rsidP="00933A35">
            <w:pPr>
              <w:widowControl w:val="0"/>
              <w:autoSpaceDE w:val="0"/>
              <w:autoSpaceDN w:val="0"/>
              <w:adjustRightInd w:val="0"/>
              <w:spacing w:after="0" w:line="240" w:lineRule="auto"/>
              <w:rPr>
                <w:rFonts w:asciiTheme="minorHAnsi" w:hAnsiTheme="minorHAnsi"/>
              </w:rPr>
            </w:pPr>
            <w:r w:rsidRPr="00C47CD5">
              <w:rPr>
                <w:rFonts w:asciiTheme="minorHAnsi" w:hAnsiTheme="minorHAnsi"/>
              </w:rPr>
              <w:t>Nadcestarija Senj</w:t>
            </w:r>
          </w:p>
        </w:tc>
        <w:tc>
          <w:tcPr>
            <w:tcW w:w="1340" w:type="dxa"/>
            <w:gridSpan w:val="2"/>
            <w:tcBorders>
              <w:top w:val="nil"/>
              <w:left w:val="nil"/>
              <w:bottom w:val="single" w:sz="8" w:space="0" w:color="auto"/>
              <w:right w:val="nil"/>
            </w:tcBorders>
            <w:vAlign w:val="bottom"/>
          </w:tcPr>
          <w:p w:rsidR="00F72CEF" w:rsidRPr="00C47CD5" w:rsidRDefault="0067525A" w:rsidP="00933A3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19</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7E0D05" w:rsidP="00933A3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9,60</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nil"/>
              <w:left w:val="nil"/>
              <w:bottom w:val="single" w:sz="8" w:space="0" w:color="auto"/>
              <w:right w:val="nil"/>
            </w:tcBorders>
            <w:vAlign w:val="bottom"/>
          </w:tcPr>
          <w:p w:rsidR="00F72CEF" w:rsidRPr="00C47CD5" w:rsidRDefault="00F72CEF" w:rsidP="00D56EF2">
            <w:pPr>
              <w:widowControl w:val="0"/>
              <w:autoSpaceDE w:val="0"/>
              <w:autoSpaceDN w:val="0"/>
              <w:adjustRightInd w:val="0"/>
              <w:spacing w:after="0" w:line="240" w:lineRule="auto"/>
              <w:jc w:val="center"/>
              <w:rPr>
                <w:rFonts w:asciiTheme="minorHAnsi" w:hAnsiTheme="minorHAnsi"/>
              </w:rPr>
            </w:pP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nil"/>
              <w:left w:val="nil"/>
              <w:bottom w:val="single" w:sz="8" w:space="0" w:color="auto"/>
              <w:right w:val="nil"/>
            </w:tcBorders>
            <w:vAlign w:val="bottom"/>
          </w:tcPr>
          <w:p w:rsidR="00F72CEF" w:rsidRPr="00C47CD5" w:rsidRDefault="00F72CEF" w:rsidP="007E0D05">
            <w:pPr>
              <w:widowControl w:val="0"/>
              <w:autoSpaceDE w:val="0"/>
              <w:autoSpaceDN w:val="0"/>
              <w:adjustRightInd w:val="0"/>
              <w:spacing w:after="0" w:line="240" w:lineRule="auto"/>
              <w:jc w:val="center"/>
              <w:rPr>
                <w:rFonts w:asciiTheme="minorHAnsi" w:hAnsiTheme="minorHAnsi"/>
              </w:rPr>
            </w:pP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2"/>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40" w:lineRule="auto"/>
              <w:ind w:left="10"/>
              <w:jc w:val="center"/>
              <w:rPr>
                <w:rFonts w:asciiTheme="minorHAnsi" w:hAnsiTheme="minorHAnsi"/>
              </w:rPr>
            </w:pPr>
            <w:r w:rsidRPr="00C47CD5">
              <w:rPr>
                <w:rFonts w:asciiTheme="minorHAnsi" w:hAnsiTheme="minorHAnsi"/>
                <w:w w:val="95"/>
              </w:rPr>
              <w:t>8</w:t>
            </w:r>
            <w:r w:rsidR="00F72CEF" w:rsidRPr="00C47CD5">
              <w:rPr>
                <w:rFonts w:asciiTheme="minorHAnsi" w:hAnsiTheme="minorHAnsi"/>
                <w:w w:val="95"/>
              </w:rPr>
              <w:t>.</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67525A" w:rsidP="00933A35">
            <w:pPr>
              <w:widowControl w:val="0"/>
              <w:autoSpaceDE w:val="0"/>
              <w:autoSpaceDN w:val="0"/>
              <w:adjustRightInd w:val="0"/>
              <w:spacing w:after="0" w:line="240" w:lineRule="auto"/>
              <w:rPr>
                <w:rFonts w:asciiTheme="minorHAnsi" w:hAnsiTheme="minorHAnsi"/>
              </w:rPr>
            </w:pPr>
            <w:r w:rsidRPr="00C47CD5">
              <w:rPr>
                <w:rFonts w:asciiTheme="minorHAnsi" w:hAnsiTheme="minorHAnsi"/>
              </w:rPr>
              <w:t>Nadcestarija Korenica</w:t>
            </w:r>
          </w:p>
        </w:tc>
        <w:tc>
          <w:tcPr>
            <w:tcW w:w="1340" w:type="dxa"/>
            <w:gridSpan w:val="2"/>
            <w:tcBorders>
              <w:top w:val="nil"/>
              <w:left w:val="nil"/>
              <w:bottom w:val="single" w:sz="8" w:space="0" w:color="auto"/>
              <w:right w:val="nil"/>
            </w:tcBorders>
            <w:vAlign w:val="bottom"/>
          </w:tcPr>
          <w:p w:rsidR="00F72CEF" w:rsidRPr="00C47CD5" w:rsidRDefault="0067525A" w:rsidP="00933A3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19</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7E0D05" w:rsidP="00933A3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9,60</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nil"/>
              <w:left w:val="nil"/>
              <w:bottom w:val="single" w:sz="8" w:space="0" w:color="auto"/>
              <w:right w:val="nil"/>
            </w:tcBorders>
            <w:vAlign w:val="bottom"/>
          </w:tcPr>
          <w:p w:rsidR="00F72CEF" w:rsidRPr="00C47CD5" w:rsidRDefault="0067525A" w:rsidP="00D56EF2">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1</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nil"/>
              <w:left w:val="nil"/>
              <w:bottom w:val="single" w:sz="8" w:space="0" w:color="auto"/>
              <w:right w:val="nil"/>
            </w:tcBorders>
            <w:vAlign w:val="bottom"/>
          </w:tcPr>
          <w:p w:rsidR="00F72CEF" w:rsidRPr="00C47CD5" w:rsidRDefault="007E0D05" w:rsidP="007E0D0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0,5</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2"/>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40" w:lineRule="auto"/>
              <w:ind w:left="10"/>
              <w:jc w:val="center"/>
              <w:rPr>
                <w:rFonts w:asciiTheme="minorHAnsi" w:hAnsiTheme="minorHAnsi"/>
              </w:rPr>
            </w:pPr>
            <w:r w:rsidRPr="00C47CD5">
              <w:rPr>
                <w:rFonts w:asciiTheme="minorHAnsi" w:hAnsiTheme="minorHAnsi"/>
              </w:rPr>
              <w:t>9.</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67525A" w:rsidP="00933A35">
            <w:pPr>
              <w:widowControl w:val="0"/>
              <w:autoSpaceDE w:val="0"/>
              <w:autoSpaceDN w:val="0"/>
              <w:adjustRightInd w:val="0"/>
              <w:spacing w:after="0" w:line="240" w:lineRule="auto"/>
              <w:rPr>
                <w:rFonts w:asciiTheme="minorHAnsi" w:hAnsiTheme="minorHAnsi"/>
              </w:rPr>
            </w:pPr>
            <w:r w:rsidRPr="00C47CD5">
              <w:rPr>
                <w:rFonts w:asciiTheme="minorHAnsi" w:hAnsiTheme="minorHAnsi"/>
              </w:rPr>
              <w:t>Cestarija Donji Lapac</w:t>
            </w:r>
          </w:p>
        </w:tc>
        <w:tc>
          <w:tcPr>
            <w:tcW w:w="1340" w:type="dxa"/>
            <w:gridSpan w:val="2"/>
            <w:tcBorders>
              <w:top w:val="nil"/>
              <w:left w:val="nil"/>
              <w:bottom w:val="single" w:sz="8" w:space="0" w:color="auto"/>
              <w:right w:val="nil"/>
            </w:tcBorders>
            <w:vAlign w:val="bottom"/>
          </w:tcPr>
          <w:p w:rsidR="00F72CEF" w:rsidRPr="00C47CD5" w:rsidRDefault="0067525A" w:rsidP="00933A3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10</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7E0D05" w:rsidP="00933A3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5,05</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nil"/>
              <w:left w:val="nil"/>
              <w:bottom w:val="single" w:sz="8" w:space="0" w:color="auto"/>
              <w:right w:val="nil"/>
            </w:tcBorders>
            <w:vAlign w:val="bottom"/>
          </w:tcPr>
          <w:p w:rsidR="00F72CEF" w:rsidRPr="00C47CD5" w:rsidRDefault="00F72CEF" w:rsidP="00D56EF2">
            <w:pPr>
              <w:widowControl w:val="0"/>
              <w:autoSpaceDE w:val="0"/>
              <w:autoSpaceDN w:val="0"/>
              <w:adjustRightInd w:val="0"/>
              <w:spacing w:after="0" w:line="240" w:lineRule="auto"/>
              <w:jc w:val="center"/>
              <w:rPr>
                <w:rFonts w:asciiTheme="minorHAnsi" w:hAnsiTheme="minorHAnsi"/>
              </w:rPr>
            </w:pP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nil"/>
              <w:left w:val="nil"/>
              <w:bottom w:val="single" w:sz="8" w:space="0" w:color="auto"/>
              <w:right w:val="nil"/>
            </w:tcBorders>
            <w:vAlign w:val="bottom"/>
          </w:tcPr>
          <w:p w:rsidR="00F72CEF" w:rsidRPr="00C47CD5" w:rsidRDefault="00F72CEF" w:rsidP="007E0D05">
            <w:pPr>
              <w:widowControl w:val="0"/>
              <w:autoSpaceDE w:val="0"/>
              <w:autoSpaceDN w:val="0"/>
              <w:adjustRightInd w:val="0"/>
              <w:spacing w:after="0" w:line="240" w:lineRule="auto"/>
              <w:jc w:val="center"/>
              <w:rPr>
                <w:rFonts w:asciiTheme="minorHAnsi" w:hAnsiTheme="minorHAnsi"/>
              </w:rPr>
            </w:pP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4"/>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40" w:lineRule="auto"/>
              <w:ind w:left="10"/>
              <w:jc w:val="center"/>
              <w:rPr>
                <w:rFonts w:asciiTheme="minorHAnsi" w:hAnsiTheme="minorHAnsi"/>
              </w:rPr>
            </w:pPr>
            <w:r w:rsidRPr="00C47CD5">
              <w:rPr>
                <w:rFonts w:asciiTheme="minorHAnsi" w:hAnsiTheme="minorHAnsi"/>
              </w:rPr>
              <w:t>10.</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8E4681" w:rsidP="00933A35">
            <w:pPr>
              <w:widowControl w:val="0"/>
              <w:autoSpaceDE w:val="0"/>
              <w:autoSpaceDN w:val="0"/>
              <w:adjustRightInd w:val="0"/>
              <w:spacing w:after="0" w:line="240" w:lineRule="auto"/>
              <w:rPr>
                <w:rFonts w:asciiTheme="minorHAnsi" w:hAnsiTheme="minorHAnsi"/>
              </w:rPr>
            </w:pPr>
            <w:r w:rsidRPr="00C47CD5">
              <w:rPr>
                <w:rFonts w:asciiTheme="minorHAnsi" w:hAnsiTheme="minorHAnsi"/>
              </w:rPr>
              <w:t>Mehanizacija</w:t>
            </w:r>
          </w:p>
        </w:tc>
        <w:tc>
          <w:tcPr>
            <w:tcW w:w="1340" w:type="dxa"/>
            <w:gridSpan w:val="2"/>
            <w:tcBorders>
              <w:top w:val="nil"/>
              <w:left w:val="nil"/>
              <w:bottom w:val="single" w:sz="8" w:space="0" w:color="auto"/>
              <w:right w:val="nil"/>
            </w:tcBorders>
            <w:vAlign w:val="bottom"/>
          </w:tcPr>
          <w:p w:rsidR="00F72CEF" w:rsidRPr="00C47CD5" w:rsidRDefault="008E4681" w:rsidP="00933A3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29</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7E0D05" w:rsidP="00933A3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14,65</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80" w:type="dxa"/>
            <w:gridSpan w:val="2"/>
            <w:tcBorders>
              <w:top w:val="nil"/>
              <w:left w:val="nil"/>
              <w:bottom w:val="single" w:sz="8" w:space="0" w:color="auto"/>
              <w:right w:val="nil"/>
            </w:tcBorders>
            <w:vAlign w:val="bottom"/>
          </w:tcPr>
          <w:p w:rsidR="00F72CEF" w:rsidRPr="00C47CD5" w:rsidRDefault="00F72CEF" w:rsidP="00D56EF2">
            <w:pPr>
              <w:widowControl w:val="0"/>
              <w:autoSpaceDE w:val="0"/>
              <w:autoSpaceDN w:val="0"/>
              <w:adjustRightInd w:val="0"/>
              <w:spacing w:after="0" w:line="240" w:lineRule="auto"/>
              <w:jc w:val="center"/>
              <w:rPr>
                <w:rFonts w:asciiTheme="minorHAnsi" w:hAnsiTheme="minorHAnsi"/>
              </w:rPr>
            </w:pP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F72CEF" w:rsidP="007E0D05">
            <w:pPr>
              <w:widowControl w:val="0"/>
              <w:autoSpaceDE w:val="0"/>
              <w:autoSpaceDN w:val="0"/>
              <w:adjustRightInd w:val="0"/>
              <w:spacing w:after="0" w:line="240" w:lineRule="auto"/>
              <w:jc w:val="center"/>
              <w:rPr>
                <w:rFonts w:asciiTheme="minorHAnsi" w:hAnsiTheme="minorHAnsi"/>
              </w:rPr>
            </w:pP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314"/>
        </w:trPr>
        <w:tc>
          <w:tcPr>
            <w:tcW w:w="1000" w:type="dxa"/>
            <w:gridSpan w:val="2"/>
            <w:tcBorders>
              <w:top w:val="nil"/>
              <w:left w:val="single" w:sz="8" w:space="0" w:color="auto"/>
              <w:bottom w:val="single" w:sz="8" w:space="0" w:color="auto"/>
              <w:right w:val="nil"/>
            </w:tcBorders>
            <w:vAlign w:val="bottom"/>
          </w:tcPr>
          <w:p w:rsidR="00F72CEF" w:rsidRPr="00C47CD5" w:rsidRDefault="00373272" w:rsidP="00933A35">
            <w:pPr>
              <w:widowControl w:val="0"/>
              <w:autoSpaceDE w:val="0"/>
              <w:autoSpaceDN w:val="0"/>
              <w:adjustRightInd w:val="0"/>
              <w:spacing w:after="0" w:line="240" w:lineRule="auto"/>
              <w:ind w:left="10"/>
              <w:jc w:val="center"/>
              <w:rPr>
                <w:rFonts w:asciiTheme="minorHAnsi" w:hAnsiTheme="minorHAnsi"/>
              </w:rPr>
            </w:pPr>
            <w:r w:rsidRPr="00C47CD5">
              <w:rPr>
                <w:rFonts w:asciiTheme="minorHAnsi" w:hAnsiTheme="minorHAnsi"/>
              </w:rPr>
              <w:t>11.</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F72CEF" w:rsidRPr="00C47CD5" w:rsidRDefault="008E4681" w:rsidP="00933A35">
            <w:pPr>
              <w:widowControl w:val="0"/>
              <w:autoSpaceDE w:val="0"/>
              <w:autoSpaceDN w:val="0"/>
              <w:adjustRightInd w:val="0"/>
              <w:spacing w:after="0" w:line="240" w:lineRule="auto"/>
              <w:rPr>
                <w:rFonts w:asciiTheme="minorHAnsi" w:hAnsiTheme="minorHAnsi"/>
              </w:rPr>
            </w:pPr>
            <w:r w:rsidRPr="00C47CD5">
              <w:rPr>
                <w:rFonts w:asciiTheme="minorHAnsi" w:hAnsiTheme="minorHAnsi"/>
              </w:rPr>
              <w:t>Radiona</w:t>
            </w:r>
          </w:p>
        </w:tc>
        <w:tc>
          <w:tcPr>
            <w:tcW w:w="1340" w:type="dxa"/>
            <w:gridSpan w:val="2"/>
            <w:tcBorders>
              <w:top w:val="nil"/>
              <w:left w:val="nil"/>
              <w:bottom w:val="single" w:sz="8" w:space="0" w:color="auto"/>
              <w:right w:val="nil"/>
            </w:tcBorders>
            <w:vAlign w:val="bottom"/>
          </w:tcPr>
          <w:p w:rsidR="00F72CEF" w:rsidRPr="00C47CD5" w:rsidRDefault="00373272" w:rsidP="00933A3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10</w:t>
            </w:r>
          </w:p>
        </w:tc>
        <w:tc>
          <w:tcPr>
            <w:tcW w:w="12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F72CEF" w:rsidRPr="00C47CD5" w:rsidRDefault="007E0D05" w:rsidP="00D56EF2">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5,05</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nil"/>
              <w:left w:val="nil"/>
              <w:bottom w:val="single" w:sz="8" w:space="0" w:color="auto"/>
              <w:right w:val="nil"/>
            </w:tcBorders>
            <w:vAlign w:val="bottom"/>
          </w:tcPr>
          <w:p w:rsidR="00F72CEF" w:rsidRPr="00C47CD5" w:rsidRDefault="008E4681" w:rsidP="00D56EF2">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1</w:t>
            </w:r>
          </w:p>
        </w:tc>
        <w:tc>
          <w:tcPr>
            <w:tcW w:w="140" w:type="dxa"/>
            <w:tcBorders>
              <w:top w:val="nil"/>
              <w:left w:val="nil"/>
              <w:bottom w:val="single" w:sz="8" w:space="0" w:color="auto"/>
              <w:right w:val="single" w:sz="8" w:space="0" w:color="auto"/>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nil"/>
              <w:left w:val="nil"/>
              <w:bottom w:val="single" w:sz="8" w:space="0" w:color="auto"/>
              <w:right w:val="nil"/>
            </w:tcBorders>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nil"/>
              <w:left w:val="nil"/>
              <w:bottom w:val="single" w:sz="8" w:space="0" w:color="auto"/>
              <w:right w:val="nil"/>
            </w:tcBorders>
            <w:vAlign w:val="bottom"/>
          </w:tcPr>
          <w:p w:rsidR="00F72CEF" w:rsidRPr="00C47CD5" w:rsidRDefault="007E0D05" w:rsidP="007E0D0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rPr>
              <w:t>0,5</w:t>
            </w:r>
          </w:p>
        </w:tc>
        <w:tc>
          <w:tcPr>
            <w:tcW w:w="120" w:type="dxa"/>
            <w:tcBorders>
              <w:top w:val="nil"/>
              <w:left w:val="nil"/>
              <w:bottom w:val="single" w:sz="8" w:space="0" w:color="auto"/>
              <w:right w:val="single" w:sz="8" w:space="0" w:color="auto"/>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r w:rsidR="00F72CEF" w:rsidRPr="00481167" w:rsidTr="008E4681">
        <w:trPr>
          <w:trHeight w:val="60"/>
        </w:trPr>
        <w:tc>
          <w:tcPr>
            <w:tcW w:w="120" w:type="dxa"/>
            <w:tcBorders>
              <w:top w:val="single" w:sz="8" w:space="0" w:color="F79646"/>
              <w:left w:val="single" w:sz="8" w:space="0" w:color="auto"/>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0" w:type="dxa"/>
            <w:gridSpan w:val="2"/>
            <w:tcBorders>
              <w:top w:val="single" w:sz="8" w:space="0" w:color="F79646"/>
              <w:left w:val="nil"/>
              <w:bottom w:val="single" w:sz="8" w:space="0" w:color="auto"/>
              <w:right w:val="single" w:sz="8" w:space="0" w:color="F79646"/>
            </w:tcBorders>
            <w:shd w:val="clear" w:color="auto" w:fill="F79646"/>
            <w:vAlign w:val="bottom"/>
          </w:tcPr>
          <w:p w:rsidR="00F72CEF" w:rsidRPr="00C47CD5" w:rsidRDefault="00F72CEF" w:rsidP="00933A35">
            <w:pPr>
              <w:widowControl w:val="0"/>
              <w:autoSpaceDE w:val="0"/>
              <w:autoSpaceDN w:val="0"/>
              <w:adjustRightInd w:val="0"/>
              <w:spacing w:after="0" w:line="260" w:lineRule="exact"/>
              <w:rPr>
                <w:rFonts w:asciiTheme="minorHAnsi" w:hAnsiTheme="minorHAnsi"/>
              </w:rPr>
            </w:pPr>
            <w:r w:rsidRPr="00C47CD5">
              <w:rPr>
                <w:rFonts w:asciiTheme="minorHAnsi" w:hAnsiTheme="minorHAnsi"/>
                <w:b/>
                <w:bCs/>
              </w:rPr>
              <w:t>UKUPNO</w:t>
            </w:r>
          </w:p>
        </w:tc>
        <w:tc>
          <w:tcPr>
            <w:tcW w:w="10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244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4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60" w:lineRule="exact"/>
              <w:jc w:val="center"/>
              <w:rPr>
                <w:rFonts w:asciiTheme="minorHAnsi" w:hAnsiTheme="minorHAnsi"/>
              </w:rPr>
            </w:pPr>
            <w:r w:rsidRPr="00C47CD5">
              <w:rPr>
                <w:rFonts w:asciiTheme="minorHAnsi" w:hAnsiTheme="minorHAnsi"/>
                <w:b/>
                <w:bCs/>
              </w:rPr>
              <w:t>192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40" w:type="dxa"/>
            <w:tcBorders>
              <w:top w:val="single" w:sz="8" w:space="0" w:color="F79646"/>
              <w:left w:val="nil"/>
              <w:bottom w:val="single" w:sz="8" w:space="0" w:color="auto"/>
              <w:right w:val="nil"/>
            </w:tcBorders>
            <w:shd w:val="clear" w:color="auto" w:fill="F79646"/>
            <w:vAlign w:val="bottom"/>
          </w:tcPr>
          <w:p w:rsidR="00F72CEF" w:rsidRPr="00C47CD5" w:rsidRDefault="007E0D05" w:rsidP="00933A35">
            <w:pPr>
              <w:widowControl w:val="0"/>
              <w:autoSpaceDE w:val="0"/>
              <w:autoSpaceDN w:val="0"/>
              <w:adjustRightInd w:val="0"/>
              <w:spacing w:after="0" w:line="260" w:lineRule="exact"/>
              <w:jc w:val="center"/>
              <w:rPr>
                <w:rFonts w:asciiTheme="minorHAnsi" w:hAnsiTheme="minorHAnsi"/>
                <w:b/>
              </w:rPr>
            </w:pPr>
            <w:r w:rsidRPr="00C47CD5">
              <w:rPr>
                <w:rFonts w:asciiTheme="minorHAnsi" w:hAnsiTheme="minorHAnsi"/>
                <w:b/>
              </w:rPr>
              <w:t>97,00</w:t>
            </w:r>
          </w:p>
        </w:tc>
        <w:tc>
          <w:tcPr>
            <w:tcW w:w="140" w:type="dxa"/>
            <w:tcBorders>
              <w:top w:val="single" w:sz="8" w:space="0" w:color="F79646"/>
              <w:left w:val="nil"/>
              <w:bottom w:val="single" w:sz="8" w:space="0" w:color="auto"/>
              <w:right w:val="single" w:sz="8" w:space="0" w:color="auto"/>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200" w:type="dxa"/>
            <w:tcBorders>
              <w:top w:val="single" w:sz="8" w:space="0" w:color="F79646"/>
              <w:left w:val="nil"/>
              <w:bottom w:val="single" w:sz="8" w:space="0" w:color="auto"/>
              <w:right w:val="nil"/>
            </w:tcBorders>
            <w:shd w:val="clear" w:color="auto" w:fill="F79646"/>
            <w:vAlign w:val="bottom"/>
          </w:tcPr>
          <w:p w:rsidR="00F72CEF" w:rsidRPr="00C47CD5" w:rsidRDefault="00D56EF2" w:rsidP="00933A35">
            <w:pPr>
              <w:widowControl w:val="0"/>
              <w:autoSpaceDE w:val="0"/>
              <w:autoSpaceDN w:val="0"/>
              <w:adjustRightInd w:val="0"/>
              <w:spacing w:after="0" w:line="260" w:lineRule="exact"/>
              <w:jc w:val="center"/>
              <w:rPr>
                <w:rFonts w:asciiTheme="minorHAnsi" w:hAnsiTheme="minorHAnsi"/>
              </w:rPr>
            </w:pPr>
            <w:r w:rsidRPr="00C47CD5">
              <w:rPr>
                <w:rFonts w:asciiTheme="minorHAnsi" w:hAnsiTheme="minorHAnsi"/>
                <w:b/>
                <w:bCs/>
              </w:rPr>
              <w:t>6</w:t>
            </w:r>
          </w:p>
        </w:tc>
        <w:tc>
          <w:tcPr>
            <w:tcW w:w="140" w:type="dxa"/>
            <w:tcBorders>
              <w:top w:val="single" w:sz="8" w:space="0" w:color="F79646"/>
              <w:left w:val="nil"/>
              <w:bottom w:val="single" w:sz="8" w:space="0" w:color="auto"/>
              <w:right w:val="single" w:sz="8" w:space="0" w:color="auto"/>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80" w:type="dxa"/>
            <w:tcBorders>
              <w:top w:val="single" w:sz="8" w:space="0" w:color="F79646"/>
              <w:left w:val="nil"/>
              <w:bottom w:val="single" w:sz="8" w:space="0" w:color="auto"/>
              <w:right w:val="nil"/>
            </w:tcBorders>
            <w:shd w:val="clear" w:color="auto" w:fill="F79646"/>
            <w:vAlign w:val="bottom"/>
          </w:tcPr>
          <w:p w:rsidR="00F72CEF" w:rsidRPr="00C47CD5" w:rsidRDefault="00F72CEF" w:rsidP="00933A35">
            <w:pPr>
              <w:widowControl w:val="0"/>
              <w:autoSpaceDE w:val="0"/>
              <w:autoSpaceDN w:val="0"/>
              <w:adjustRightInd w:val="0"/>
              <w:spacing w:after="0" w:line="240" w:lineRule="auto"/>
              <w:rPr>
                <w:rFonts w:asciiTheme="minorHAnsi" w:hAnsiTheme="minorHAnsi"/>
              </w:rPr>
            </w:pPr>
          </w:p>
        </w:tc>
        <w:tc>
          <w:tcPr>
            <w:tcW w:w="1060" w:type="dxa"/>
            <w:tcBorders>
              <w:top w:val="single" w:sz="8" w:space="0" w:color="F79646"/>
              <w:left w:val="nil"/>
              <w:bottom w:val="single" w:sz="8" w:space="0" w:color="auto"/>
              <w:right w:val="nil"/>
            </w:tcBorders>
            <w:shd w:val="clear" w:color="auto" w:fill="F79646"/>
            <w:vAlign w:val="bottom"/>
          </w:tcPr>
          <w:p w:rsidR="00F72CEF" w:rsidRPr="00C47CD5" w:rsidRDefault="007E0D05" w:rsidP="00933A35">
            <w:pPr>
              <w:widowControl w:val="0"/>
              <w:autoSpaceDE w:val="0"/>
              <w:autoSpaceDN w:val="0"/>
              <w:adjustRightInd w:val="0"/>
              <w:spacing w:after="0" w:line="260" w:lineRule="exact"/>
              <w:jc w:val="center"/>
              <w:rPr>
                <w:rFonts w:asciiTheme="minorHAnsi" w:hAnsiTheme="minorHAnsi"/>
                <w:b/>
              </w:rPr>
            </w:pPr>
            <w:r w:rsidRPr="00C47CD5">
              <w:rPr>
                <w:rFonts w:asciiTheme="minorHAnsi" w:hAnsiTheme="minorHAnsi"/>
                <w:b/>
              </w:rPr>
              <w:t>3,00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F72CEF" w:rsidRPr="00481167" w:rsidRDefault="00F72CEF" w:rsidP="00933A35">
            <w:pPr>
              <w:widowControl w:val="0"/>
              <w:autoSpaceDE w:val="0"/>
              <w:autoSpaceDN w:val="0"/>
              <w:adjustRightInd w:val="0"/>
              <w:spacing w:after="0" w:line="240" w:lineRule="auto"/>
              <w:rPr>
                <w:rFonts w:ascii="Times New Roman" w:hAnsi="Times New Roman"/>
                <w:sz w:val="2"/>
                <w:szCs w:val="2"/>
              </w:rPr>
            </w:pPr>
          </w:p>
        </w:tc>
      </w:tr>
    </w:tbl>
    <w:p w:rsidR="00F72CEF" w:rsidRDefault="00F72CEF"/>
    <w:p w:rsidR="00F72CEF" w:rsidRPr="00F72CEF" w:rsidRDefault="00F72CEF" w:rsidP="00C47CD5">
      <w:pPr>
        <w:widowControl w:val="0"/>
        <w:overflowPunct w:val="0"/>
        <w:autoSpaceDE w:val="0"/>
        <w:autoSpaceDN w:val="0"/>
        <w:adjustRightInd w:val="0"/>
        <w:spacing w:after="0" w:line="240" w:lineRule="auto"/>
        <w:ind w:left="120" w:right="20"/>
        <w:jc w:val="both"/>
        <w:rPr>
          <w:rFonts w:ascii="Times New Roman" w:hAnsi="Times New Roman"/>
          <w:sz w:val="24"/>
          <w:szCs w:val="24"/>
        </w:rPr>
      </w:pPr>
      <w:r w:rsidRPr="00F72CEF">
        <w:rPr>
          <w:rFonts w:ascii="Times New Roman" w:hAnsi="Times New Roman"/>
          <w:sz w:val="24"/>
          <w:szCs w:val="24"/>
        </w:rPr>
        <w:t xml:space="preserve">S obzirom na dvije vrste ugovora, oni na neodređeno i određeno, Društvo se može pohvaliti pozitivnom klimom u tom aspektu s obzirom da je </w:t>
      </w:r>
      <w:r w:rsidR="00D56EF2">
        <w:rPr>
          <w:rFonts w:ascii="Times New Roman" w:hAnsi="Times New Roman"/>
          <w:sz w:val="24"/>
          <w:szCs w:val="24"/>
        </w:rPr>
        <w:t>na dan 31.12.2015. od ukupno 198</w:t>
      </w:r>
      <w:r w:rsidRPr="00F72CEF">
        <w:rPr>
          <w:rFonts w:ascii="Times New Roman" w:hAnsi="Times New Roman"/>
          <w:sz w:val="24"/>
          <w:szCs w:val="24"/>
        </w:rPr>
        <w:t xml:space="preserve"> radnika, njih</w:t>
      </w:r>
      <w:r>
        <w:rPr>
          <w:rFonts w:ascii="Times New Roman" w:hAnsi="Times New Roman"/>
          <w:sz w:val="24"/>
          <w:szCs w:val="24"/>
        </w:rPr>
        <w:t xml:space="preserve"> </w:t>
      </w:r>
      <w:r w:rsidRPr="00F72CEF">
        <w:rPr>
          <w:rFonts w:ascii="Times New Roman" w:hAnsi="Times New Roman"/>
          <w:sz w:val="24"/>
          <w:szCs w:val="24"/>
        </w:rPr>
        <w:t>čak 192 imalo ugovor na neodređeno, tj. stalno zaposlenje,kao što je prikazano tablicom 4.</w:t>
      </w:r>
    </w:p>
    <w:p w:rsidR="00F72CEF" w:rsidRPr="00F72CEF" w:rsidRDefault="00F72CEF" w:rsidP="00F72CEF">
      <w:pPr>
        <w:widowControl w:val="0"/>
        <w:autoSpaceDE w:val="0"/>
        <w:autoSpaceDN w:val="0"/>
        <w:adjustRightInd w:val="0"/>
        <w:spacing w:after="0"/>
        <w:jc w:val="both"/>
        <w:rPr>
          <w:rFonts w:ascii="Times New Roman" w:hAnsi="Times New Roman"/>
          <w:sz w:val="24"/>
          <w:szCs w:val="24"/>
        </w:rPr>
      </w:pPr>
    </w:p>
    <w:p w:rsidR="00F72CEF" w:rsidRDefault="00F72CEF"/>
    <w:p w:rsidR="007D0796" w:rsidRDefault="007D0796"/>
    <w:p w:rsidR="007D0796" w:rsidRDefault="007D0796"/>
    <w:p w:rsidR="007D0796" w:rsidRDefault="007D0796"/>
    <w:p w:rsidR="007D0796" w:rsidRDefault="007D0796"/>
    <w:p w:rsidR="007D0796" w:rsidRDefault="007D0796"/>
    <w:p w:rsidR="007D0796" w:rsidRDefault="007D0796"/>
    <w:p w:rsidR="007D0796" w:rsidRDefault="007D0796"/>
    <w:p w:rsidR="007A0CDB" w:rsidRDefault="007A0CDB" w:rsidP="007D0796">
      <w:pPr>
        <w:widowControl w:val="0"/>
        <w:autoSpaceDE w:val="0"/>
        <w:autoSpaceDN w:val="0"/>
        <w:adjustRightInd w:val="0"/>
        <w:spacing w:after="0" w:line="240" w:lineRule="auto"/>
        <w:ind w:left="4"/>
      </w:pPr>
    </w:p>
    <w:p w:rsidR="007A0CDB" w:rsidRDefault="007A0CDB" w:rsidP="007D0796">
      <w:pPr>
        <w:widowControl w:val="0"/>
        <w:autoSpaceDE w:val="0"/>
        <w:autoSpaceDN w:val="0"/>
        <w:adjustRightInd w:val="0"/>
        <w:spacing w:after="0" w:line="240" w:lineRule="auto"/>
        <w:ind w:left="4"/>
      </w:pPr>
    </w:p>
    <w:p w:rsidR="007D0796" w:rsidRDefault="007D0796" w:rsidP="007D0796">
      <w:pPr>
        <w:widowControl w:val="0"/>
        <w:autoSpaceDE w:val="0"/>
        <w:autoSpaceDN w:val="0"/>
        <w:adjustRightInd w:val="0"/>
        <w:spacing w:after="0" w:line="240" w:lineRule="auto"/>
        <w:ind w:left="4"/>
        <w:rPr>
          <w:rFonts w:ascii="Times New Roman" w:hAnsi="Times New Roman"/>
          <w:sz w:val="24"/>
          <w:szCs w:val="24"/>
        </w:rPr>
      </w:pPr>
      <w:r>
        <w:rPr>
          <w:rFonts w:cs="Calibri"/>
          <w:b/>
          <w:bCs/>
          <w:sz w:val="32"/>
          <w:szCs w:val="32"/>
        </w:rPr>
        <w:lastRenderedPageBreak/>
        <w:t>1.2.  Zakonski okvir poslovanja Društva</w:t>
      </w:r>
    </w:p>
    <w:p w:rsidR="007D0796" w:rsidRDefault="007D0796" w:rsidP="007D0796">
      <w:pPr>
        <w:widowControl w:val="0"/>
        <w:autoSpaceDE w:val="0"/>
        <w:autoSpaceDN w:val="0"/>
        <w:adjustRightInd w:val="0"/>
        <w:spacing w:after="0" w:line="200" w:lineRule="exact"/>
        <w:rPr>
          <w:rFonts w:ascii="Times New Roman" w:hAnsi="Times New Roman"/>
          <w:sz w:val="24"/>
          <w:szCs w:val="24"/>
        </w:rPr>
      </w:pPr>
    </w:p>
    <w:p w:rsidR="007D0796" w:rsidRDefault="007D0796" w:rsidP="007D0796">
      <w:pPr>
        <w:widowControl w:val="0"/>
        <w:autoSpaceDE w:val="0"/>
        <w:autoSpaceDN w:val="0"/>
        <w:adjustRightInd w:val="0"/>
        <w:spacing w:after="0" w:line="200" w:lineRule="exact"/>
        <w:rPr>
          <w:rFonts w:ascii="Times New Roman" w:hAnsi="Times New Roman"/>
          <w:sz w:val="24"/>
          <w:szCs w:val="24"/>
        </w:rPr>
      </w:pPr>
    </w:p>
    <w:p w:rsidR="007D0796" w:rsidRDefault="007D0796" w:rsidP="007D0796">
      <w:pPr>
        <w:widowControl w:val="0"/>
        <w:autoSpaceDE w:val="0"/>
        <w:autoSpaceDN w:val="0"/>
        <w:adjustRightInd w:val="0"/>
        <w:spacing w:after="0" w:line="360" w:lineRule="exact"/>
        <w:rPr>
          <w:rFonts w:ascii="Times New Roman" w:hAnsi="Times New Roman"/>
          <w:sz w:val="24"/>
          <w:szCs w:val="24"/>
        </w:rPr>
      </w:pPr>
    </w:p>
    <w:p w:rsidR="007D0796" w:rsidRPr="00832FC0" w:rsidRDefault="007D0796" w:rsidP="00C47CD5">
      <w:pPr>
        <w:widowControl w:val="0"/>
        <w:overflowPunct w:val="0"/>
        <w:autoSpaceDE w:val="0"/>
        <w:autoSpaceDN w:val="0"/>
        <w:adjustRightInd w:val="0"/>
        <w:spacing w:after="0" w:line="240" w:lineRule="auto"/>
        <w:ind w:left="4"/>
        <w:jc w:val="both"/>
        <w:rPr>
          <w:rFonts w:ascii="Times New Roman" w:hAnsi="Times New Roman"/>
          <w:sz w:val="24"/>
          <w:szCs w:val="24"/>
        </w:rPr>
      </w:pPr>
      <w:r w:rsidRPr="00832FC0">
        <w:rPr>
          <w:rFonts w:ascii="Times New Roman" w:hAnsi="Times New Roman"/>
          <w:sz w:val="24"/>
          <w:szCs w:val="24"/>
        </w:rPr>
        <w:t xml:space="preserve">Obveznik sastavljanja financijskih izvještaja jest Uprava društva, što je propisano, prije svega, Zakonom o </w:t>
      </w:r>
      <w:r w:rsidR="00832FC0">
        <w:rPr>
          <w:rFonts w:ascii="Times New Roman" w:hAnsi="Times New Roman"/>
          <w:sz w:val="24"/>
          <w:szCs w:val="24"/>
        </w:rPr>
        <w:t>računovodstvu (NN, br. 109/07. do 134/15.</w:t>
      </w:r>
      <w:r w:rsidR="00832FC0" w:rsidRPr="00832FC0">
        <w:rPr>
          <w:rFonts w:ascii="Times New Roman" w:hAnsi="Times New Roman"/>
          <w:sz w:val="24"/>
          <w:szCs w:val="24"/>
        </w:rPr>
        <w:t>)</w:t>
      </w:r>
      <w:r w:rsidRPr="00832FC0">
        <w:rPr>
          <w:rFonts w:ascii="Times New Roman" w:hAnsi="Times New Roman"/>
          <w:sz w:val="24"/>
          <w:szCs w:val="24"/>
        </w:rPr>
        <w:t>, te Zakonom o trgovačkim društvima</w:t>
      </w:r>
      <w:r w:rsidR="00832FC0" w:rsidRPr="00832FC0">
        <w:rPr>
          <w:rFonts w:ascii="Times New Roman" w:hAnsi="Times New Roman"/>
          <w:sz w:val="24"/>
          <w:szCs w:val="24"/>
        </w:rPr>
        <w:t xml:space="preserve"> </w:t>
      </w:r>
      <w:r w:rsidRPr="00832FC0">
        <w:rPr>
          <w:rFonts w:ascii="Times New Roman" w:hAnsi="Times New Roman"/>
          <w:sz w:val="24"/>
          <w:szCs w:val="24"/>
        </w:rPr>
        <w:t xml:space="preserve">(NN, br. 111/93. do </w:t>
      </w:r>
      <w:r w:rsidR="00832FC0" w:rsidRPr="00832FC0">
        <w:rPr>
          <w:rFonts w:ascii="Times New Roman" w:hAnsi="Times New Roman"/>
          <w:sz w:val="24"/>
          <w:szCs w:val="24"/>
        </w:rPr>
        <w:t>110/15</w:t>
      </w:r>
      <w:r w:rsidRPr="00832FC0">
        <w:rPr>
          <w:rFonts w:ascii="Times New Roman" w:hAnsi="Times New Roman"/>
          <w:sz w:val="24"/>
          <w:szCs w:val="24"/>
        </w:rPr>
        <w:t>.).</w:t>
      </w:r>
    </w:p>
    <w:p w:rsidR="007D0796" w:rsidRPr="00832FC0" w:rsidRDefault="007D0796" w:rsidP="00C47CD5">
      <w:pPr>
        <w:widowControl w:val="0"/>
        <w:autoSpaceDE w:val="0"/>
        <w:autoSpaceDN w:val="0"/>
        <w:adjustRightInd w:val="0"/>
        <w:spacing w:after="0" w:line="240" w:lineRule="auto"/>
        <w:jc w:val="both"/>
        <w:rPr>
          <w:rFonts w:ascii="Times New Roman" w:hAnsi="Times New Roman"/>
          <w:sz w:val="24"/>
          <w:szCs w:val="24"/>
        </w:rPr>
      </w:pPr>
    </w:p>
    <w:p w:rsidR="007D0796" w:rsidRPr="00832FC0" w:rsidRDefault="007D0796" w:rsidP="00C47CD5">
      <w:pPr>
        <w:widowControl w:val="0"/>
        <w:overflowPunct w:val="0"/>
        <w:autoSpaceDE w:val="0"/>
        <w:autoSpaceDN w:val="0"/>
        <w:adjustRightInd w:val="0"/>
        <w:spacing w:after="0" w:line="240" w:lineRule="auto"/>
        <w:ind w:left="4"/>
        <w:jc w:val="both"/>
        <w:rPr>
          <w:rFonts w:ascii="Times New Roman" w:hAnsi="Times New Roman"/>
          <w:sz w:val="24"/>
          <w:szCs w:val="24"/>
        </w:rPr>
      </w:pPr>
      <w:r w:rsidRPr="00832FC0">
        <w:rPr>
          <w:rFonts w:ascii="Times New Roman" w:hAnsi="Times New Roman"/>
          <w:sz w:val="24"/>
          <w:szCs w:val="24"/>
        </w:rPr>
        <w:t>Prema Zakonu o računovodstvu, Uprava je sastavila bilancu, te račun dobiti i gubitka za javnu objavu. Financijski izvještaji sastavljeni su sukladno Hrvatskim standardima financijskog izvještavanja,što je zadani zakonski okvir sukladno odredbama članka 12. i 13. Zakona o računovodstvu.</w:t>
      </w:r>
    </w:p>
    <w:p w:rsidR="007D0796" w:rsidRPr="00832FC0" w:rsidRDefault="007D0796" w:rsidP="00C47CD5">
      <w:pPr>
        <w:widowControl w:val="0"/>
        <w:autoSpaceDE w:val="0"/>
        <w:autoSpaceDN w:val="0"/>
        <w:adjustRightInd w:val="0"/>
        <w:spacing w:after="0" w:line="240" w:lineRule="auto"/>
        <w:jc w:val="both"/>
        <w:rPr>
          <w:rFonts w:ascii="Times New Roman" w:hAnsi="Times New Roman"/>
          <w:sz w:val="24"/>
          <w:szCs w:val="24"/>
        </w:rPr>
      </w:pPr>
    </w:p>
    <w:p w:rsidR="007D0796" w:rsidRPr="00832FC0" w:rsidRDefault="007D0796" w:rsidP="00C47CD5">
      <w:pPr>
        <w:widowControl w:val="0"/>
        <w:autoSpaceDE w:val="0"/>
        <w:autoSpaceDN w:val="0"/>
        <w:adjustRightInd w:val="0"/>
        <w:spacing w:after="0" w:line="240" w:lineRule="auto"/>
        <w:ind w:left="4"/>
        <w:jc w:val="both"/>
        <w:rPr>
          <w:rFonts w:ascii="Times New Roman" w:hAnsi="Times New Roman"/>
          <w:sz w:val="24"/>
          <w:szCs w:val="24"/>
        </w:rPr>
      </w:pPr>
      <w:r w:rsidRPr="00832FC0">
        <w:rPr>
          <w:rFonts w:ascii="Times New Roman" w:hAnsi="Times New Roman"/>
          <w:sz w:val="24"/>
          <w:szCs w:val="24"/>
        </w:rPr>
        <w:t>Društvo obračunava sve poreze sukladno vrijededim zakonskim propisima, a prije svega:</w:t>
      </w:r>
    </w:p>
    <w:p w:rsidR="007D0796" w:rsidRPr="00832FC0" w:rsidRDefault="007D0796" w:rsidP="00C47CD5">
      <w:pPr>
        <w:widowControl w:val="0"/>
        <w:autoSpaceDE w:val="0"/>
        <w:autoSpaceDN w:val="0"/>
        <w:adjustRightInd w:val="0"/>
        <w:spacing w:after="0" w:line="240" w:lineRule="auto"/>
        <w:jc w:val="both"/>
        <w:rPr>
          <w:rFonts w:ascii="Times New Roman" w:hAnsi="Times New Roman"/>
          <w:sz w:val="24"/>
          <w:szCs w:val="24"/>
        </w:rPr>
      </w:pPr>
    </w:p>
    <w:p w:rsidR="007D0796" w:rsidRPr="00832FC0" w:rsidRDefault="007D0796" w:rsidP="00C47CD5">
      <w:pPr>
        <w:widowControl w:val="0"/>
        <w:numPr>
          <w:ilvl w:val="0"/>
          <w:numId w:val="1"/>
        </w:numPr>
        <w:tabs>
          <w:tab w:val="clear" w:pos="720"/>
          <w:tab w:val="num" w:pos="210"/>
        </w:tabs>
        <w:overflowPunct w:val="0"/>
        <w:autoSpaceDE w:val="0"/>
        <w:autoSpaceDN w:val="0"/>
        <w:adjustRightInd w:val="0"/>
        <w:spacing w:after="0" w:line="240" w:lineRule="auto"/>
        <w:ind w:left="244" w:right="960" w:hanging="244"/>
        <w:jc w:val="both"/>
        <w:rPr>
          <w:rFonts w:ascii="Times New Roman" w:hAnsi="Times New Roman"/>
          <w:sz w:val="24"/>
          <w:szCs w:val="24"/>
        </w:rPr>
      </w:pPr>
      <w:r w:rsidRPr="00832FC0">
        <w:rPr>
          <w:rFonts w:ascii="Times New Roman" w:hAnsi="Times New Roman"/>
          <w:sz w:val="24"/>
          <w:szCs w:val="24"/>
        </w:rPr>
        <w:t>Zakonu o porezu na dodanu vrijednost (NN, br. 73/13. do 143/14., te Pravilniku o porezu na dodanu vrijednost (NN, br. 79/13.</w:t>
      </w:r>
      <w:r w:rsidR="00832FC0">
        <w:rPr>
          <w:rFonts w:ascii="Times New Roman" w:hAnsi="Times New Roman"/>
          <w:sz w:val="24"/>
          <w:szCs w:val="24"/>
        </w:rPr>
        <w:t xml:space="preserve"> do 130/15.</w:t>
      </w:r>
      <w:r w:rsidRPr="00832FC0">
        <w:rPr>
          <w:rFonts w:ascii="Times New Roman" w:hAnsi="Times New Roman"/>
          <w:sz w:val="24"/>
          <w:szCs w:val="24"/>
        </w:rPr>
        <w:t xml:space="preserve">), </w:t>
      </w:r>
    </w:p>
    <w:p w:rsidR="007D0796" w:rsidRPr="00832FC0" w:rsidRDefault="007D0796" w:rsidP="00C47CD5">
      <w:pPr>
        <w:widowControl w:val="0"/>
        <w:autoSpaceDE w:val="0"/>
        <w:autoSpaceDN w:val="0"/>
        <w:adjustRightInd w:val="0"/>
        <w:spacing w:after="0" w:line="240" w:lineRule="auto"/>
        <w:jc w:val="both"/>
        <w:rPr>
          <w:rFonts w:ascii="Times New Roman" w:hAnsi="Times New Roman"/>
          <w:sz w:val="24"/>
          <w:szCs w:val="24"/>
        </w:rPr>
      </w:pPr>
    </w:p>
    <w:p w:rsidR="007D0796" w:rsidRPr="00832FC0" w:rsidRDefault="007D0796" w:rsidP="00C47CD5">
      <w:pPr>
        <w:widowControl w:val="0"/>
        <w:numPr>
          <w:ilvl w:val="0"/>
          <w:numId w:val="1"/>
        </w:numPr>
        <w:tabs>
          <w:tab w:val="clear" w:pos="720"/>
          <w:tab w:val="num" w:pos="212"/>
        </w:tabs>
        <w:overflowPunct w:val="0"/>
        <w:autoSpaceDE w:val="0"/>
        <w:autoSpaceDN w:val="0"/>
        <w:adjustRightInd w:val="0"/>
        <w:spacing w:after="0" w:line="240" w:lineRule="auto"/>
        <w:ind w:left="244" w:right="1140" w:hanging="244"/>
        <w:jc w:val="both"/>
        <w:rPr>
          <w:rFonts w:ascii="Times New Roman" w:hAnsi="Times New Roman"/>
          <w:sz w:val="24"/>
          <w:szCs w:val="24"/>
        </w:rPr>
      </w:pPr>
      <w:r w:rsidRPr="00832FC0">
        <w:rPr>
          <w:rFonts w:ascii="Times New Roman" w:hAnsi="Times New Roman"/>
          <w:sz w:val="24"/>
          <w:szCs w:val="24"/>
        </w:rPr>
        <w:t xml:space="preserve">Zakonu o porezu na dobit (NN, br. 177/04. do 143/14.), te Pravilniku o porezu na dobit (NN, br.95/05. do </w:t>
      </w:r>
      <w:r w:rsidR="00832FC0">
        <w:rPr>
          <w:rFonts w:ascii="Times New Roman" w:hAnsi="Times New Roman"/>
          <w:sz w:val="24"/>
          <w:szCs w:val="24"/>
        </w:rPr>
        <w:t>137/15</w:t>
      </w:r>
      <w:r w:rsidRPr="00832FC0">
        <w:rPr>
          <w:rFonts w:ascii="Times New Roman" w:hAnsi="Times New Roman"/>
          <w:sz w:val="24"/>
          <w:szCs w:val="24"/>
        </w:rPr>
        <w:t xml:space="preserve">.), </w:t>
      </w:r>
    </w:p>
    <w:p w:rsidR="007D0796" w:rsidRPr="00832FC0" w:rsidRDefault="007D0796" w:rsidP="00C47CD5">
      <w:pPr>
        <w:widowControl w:val="0"/>
        <w:autoSpaceDE w:val="0"/>
        <w:autoSpaceDN w:val="0"/>
        <w:adjustRightInd w:val="0"/>
        <w:spacing w:after="0" w:line="240" w:lineRule="auto"/>
        <w:jc w:val="both"/>
        <w:rPr>
          <w:rFonts w:ascii="Times New Roman" w:hAnsi="Times New Roman"/>
          <w:sz w:val="24"/>
          <w:szCs w:val="24"/>
        </w:rPr>
      </w:pPr>
    </w:p>
    <w:p w:rsidR="007D0796" w:rsidRPr="00832FC0" w:rsidRDefault="007D0796" w:rsidP="00C47CD5">
      <w:pPr>
        <w:widowControl w:val="0"/>
        <w:numPr>
          <w:ilvl w:val="0"/>
          <w:numId w:val="1"/>
        </w:numPr>
        <w:tabs>
          <w:tab w:val="clear" w:pos="720"/>
          <w:tab w:val="num" w:pos="210"/>
        </w:tabs>
        <w:overflowPunct w:val="0"/>
        <w:autoSpaceDE w:val="0"/>
        <w:autoSpaceDN w:val="0"/>
        <w:adjustRightInd w:val="0"/>
        <w:spacing w:after="0" w:line="240" w:lineRule="auto"/>
        <w:ind w:left="244" w:right="1460" w:hanging="244"/>
        <w:jc w:val="both"/>
        <w:rPr>
          <w:rFonts w:ascii="Times New Roman" w:hAnsi="Times New Roman"/>
          <w:sz w:val="24"/>
          <w:szCs w:val="24"/>
        </w:rPr>
      </w:pPr>
      <w:r w:rsidRPr="00832FC0">
        <w:rPr>
          <w:rFonts w:ascii="Times New Roman" w:hAnsi="Times New Roman"/>
          <w:sz w:val="24"/>
          <w:szCs w:val="24"/>
        </w:rPr>
        <w:t xml:space="preserve">Zakonu o porezu na dohodak (NN, br. 177/04. do </w:t>
      </w:r>
      <w:r w:rsidR="00B66438">
        <w:rPr>
          <w:rFonts w:ascii="Times New Roman" w:hAnsi="Times New Roman"/>
          <w:sz w:val="24"/>
          <w:szCs w:val="24"/>
        </w:rPr>
        <w:t>136/15</w:t>
      </w:r>
      <w:r w:rsidRPr="00832FC0">
        <w:rPr>
          <w:rFonts w:ascii="Times New Roman" w:hAnsi="Times New Roman"/>
          <w:sz w:val="24"/>
          <w:szCs w:val="24"/>
        </w:rPr>
        <w:t xml:space="preserve">) te Pravilniku o porezu na dohodak (NN, 95/05. do </w:t>
      </w:r>
      <w:r w:rsidR="00B66438">
        <w:rPr>
          <w:rFonts w:ascii="Times New Roman" w:hAnsi="Times New Roman"/>
          <w:sz w:val="24"/>
          <w:szCs w:val="24"/>
        </w:rPr>
        <w:t>137/15</w:t>
      </w:r>
      <w:r w:rsidRPr="00832FC0">
        <w:rPr>
          <w:rFonts w:ascii="Times New Roman" w:hAnsi="Times New Roman"/>
          <w:sz w:val="24"/>
          <w:szCs w:val="24"/>
        </w:rPr>
        <w:t xml:space="preserve">.) </w:t>
      </w:r>
    </w:p>
    <w:p w:rsidR="007D0796" w:rsidRPr="00832FC0" w:rsidRDefault="007D0796" w:rsidP="00C47CD5">
      <w:pPr>
        <w:widowControl w:val="0"/>
        <w:autoSpaceDE w:val="0"/>
        <w:autoSpaceDN w:val="0"/>
        <w:adjustRightInd w:val="0"/>
        <w:spacing w:after="0" w:line="240" w:lineRule="auto"/>
        <w:jc w:val="both"/>
        <w:rPr>
          <w:rFonts w:ascii="Times New Roman" w:hAnsi="Times New Roman"/>
          <w:sz w:val="24"/>
          <w:szCs w:val="24"/>
        </w:rPr>
      </w:pPr>
    </w:p>
    <w:p w:rsidR="00B66438" w:rsidRDefault="007D0796" w:rsidP="00C47CD5">
      <w:pPr>
        <w:widowControl w:val="0"/>
        <w:overflowPunct w:val="0"/>
        <w:autoSpaceDE w:val="0"/>
        <w:autoSpaceDN w:val="0"/>
        <w:adjustRightInd w:val="0"/>
        <w:spacing w:after="0" w:line="240" w:lineRule="auto"/>
        <w:ind w:left="4"/>
        <w:jc w:val="both"/>
        <w:rPr>
          <w:rFonts w:ascii="Times New Roman" w:hAnsi="Times New Roman"/>
          <w:sz w:val="24"/>
          <w:szCs w:val="24"/>
        </w:rPr>
      </w:pPr>
      <w:r w:rsidRPr="00832FC0">
        <w:rPr>
          <w:rFonts w:ascii="Times New Roman" w:hAnsi="Times New Roman"/>
          <w:sz w:val="24"/>
          <w:szCs w:val="24"/>
        </w:rPr>
        <w:t>Financijski izvještaji sastavljeni su po načelu nastanka poslovnih događaja, odnosno učinci transakcija i drugih događaja priznaju se kad su nastali i uključuju u financijske izvještaje za razdoblje na koje se odnose.</w:t>
      </w:r>
      <w:r w:rsidR="00B66438">
        <w:rPr>
          <w:rFonts w:ascii="Times New Roman" w:hAnsi="Times New Roman"/>
          <w:sz w:val="24"/>
          <w:szCs w:val="24"/>
        </w:rPr>
        <w:t xml:space="preserve"> </w:t>
      </w:r>
    </w:p>
    <w:p w:rsidR="00B66438" w:rsidRDefault="00B66438" w:rsidP="00C47CD5">
      <w:pPr>
        <w:widowControl w:val="0"/>
        <w:overflowPunct w:val="0"/>
        <w:autoSpaceDE w:val="0"/>
        <w:autoSpaceDN w:val="0"/>
        <w:adjustRightInd w:val="0"/>
        <w:spacing w:after="0" w:line="240" w:lineRule="auto"/>
        <w:ind w:left="4"/>
        <w:jc w:val="both"/>
        <w:rPr>
          <w:rFonts w:ascii="Times New Roman" w:hAnsi="Times New Roman"/>
          <w:sz w:val="24"/>
          <w:szCs w:val="24"/>
        </w:rPr>
      </w:pPr>
    </w:p>
    <w:p w:rsidR="00B66438" w:rsidRDefault="007D0796" w:rsidP="00C47CD5">
      <w:pPr>
        <w:widowControl w:val="0"/>
        <w:overflowPunct w:val="0"/>
        <w:autoSpaceDE w:val="0"/>
        <w:autoSpaceDN w:val="0"/>
        <w:adjustRightInd w:val="0"/>
        <w:spacing w:after="0" w:line="240" w:lineRule="auto"/>
        <w:ind w:left="4"/>
        <w:jc w:val="both"/>
        <w:rPr>
          <w:rFonts w:ascii="Times New Roman" w:hAnsi="Times New Roman"/>
          <w:sz w:val="24"/>
          <w:szCs w:val="24"/>
        </w:rPr>
      </w:pPr>
      <w:r w:rsidRPr="00832FC0">
        <w:rPr>
          <w:rFonts w:ascii="Times New Roman" w:hAnsi="Times New Roman"/>
          <w:sz w:val="24"/>
          <w:szCs w:val="24"/>
        </w:rPr>
        <w:t>Financijski izvještaji su pripremljeni po</w:t>
      </w:r>
      <w:r w:rsidR="00B66438">
        <w:rPr>
          <w:rFonts w:ascii="Times New Roman" w:hAnsi="Times New Roman"/>
          <w:sz w:val="24"/>
          <w:szCs w:val="24"/>
        </w:rPr>
        <w:t xml:space="preserve">d pretpostavkom neograničenost  </w:t>
      </w:r>
      <w:r w:rsidRPr="00832FC0">
        <w:rPr>
          <w:rFonts w:ascii="Times New Roman" w:hAnsi="Times New Roman"/>
          <w:sz w:val="24"/>
          <w:szCs w:val="24"/>
        </w:rPr>
        <w:t xml:space="preserve">poslovanja. </w:t>
      </w:r>
      <w:r w:rsidR="00B66438">
        <w:rPr>
          <w:rFonts w:ascii="Times New Roman" w:hAnsi="Times New Roman"/>
          <w:sz w:val="24"/>
          <w:szCs w:val="24"/>
        </w:rPr>
        <w:t xml:space="preserve"> </w:t>
      </w:r>
    </w:p>
    <w:p w:rsidR="007D0796" w:rsidRPr="00832FC0" w:rsidRDefault="007D0796" w:rsidP="00C47CD5">
      <w:pPr>
        <w:widowControl w:val="0"/>
        <w:overflowPunct w:val="0"/>
        <w:autoSpaceDE w:val="0"/>
        <w:autoSpaceDN w:val="0"/>
        <w:adjustRightInd w:val="0"/>
        <w:spacing w:after="0" w:line="240" w:lineRule="auto"/>
        <w:ind w:left="4"/>
        <w:jc w:val="both"/>
        <w:rPr>
          <w:rFonts w:ascii="Times New Roman" w:hAnsi="Times New Roman"/>
          <w:sz w:val="24"/>
          <w:szCs w:val="24"/>
        </w:rPr>
      </w:pPr>
      <w:r w:rsidRPr="00832FC0">
        <w:rPr>
          <w:rFonts w:ascii="Times New Roman" w:hAnsi="Times New Roman"/>
          <w:sz w:val="24"/>
          <w:szCs w:val="24"/>
        </w:rPr>
        <w:t>Financijski izvještaji su sukladni Hrvatskim standardima financijskog izvještavanja.</w:t>
      </w:r>
    </w:p>
    <w:p w:rsidR="007D0796" w:rsidRDefault="007D0796"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346D17" w:rsidRDefault="00346D17" w:rsidP="00832FC0">
      <w:pPr>
        <w:widowControl w:val="0"/>
        <w:autoSpaceDE w:val="0"/>
        <w:autoSpaceDN w:val="0"/>
        <w:adjustRightInd w:val="0"/>
        <w:spacing w:after="0"/>
        <w:jc w:val="both"/>
        <w:rPr>
          <w:rFonts w:ascii="Times New Roman" w:hAnsi="Times New Roman"/>
          <w:sz w:val="24"/>
          <w:szCs w:val="24"/>
        </w:rPr>
      </w:pPr>
    </w:p>
    <w:p w:rsidR="00C47CD5" w:rsidRDefault="00C47CD5" w:rsidP="00346D17">
      <w:pPr>
        <w:widowControl w:val="0"/>
        <w:autoSpaceDE w:val="0"/>
        <w:autoSpaceDN w:val="0"/>
        <w:adjustRightInd w:val="0"/>
        <w:spacing w:after="0" w:line="240" w:lineRule="auto"/>
        <w:rPr>
          <w:rFonts w:cs="Calibri"/>
          <w:b/>
          <w:bCs/>
          <w:sz w:val="32"/>
          <w:szCs w:val="32"/>
        </w:rPr>
      </w:pPr>
    </w:p>
    <w:p w:rsidR="00C47CD5" w:rsidRDefault="00C47CD5" w:rsidP="00346D17">
      <w:pPr>
        <w:widowControl w:val="0"/>
        <w:autoSpaceDE w:val="0"/>
        <w:autoSpaceDN w:val="0"/>
        <w:adjustRightInd w:val="0"/>
        <w:spacing w:after="0" w:line="240" w:lineRule="auto"/>
        <w:rPr>
          <w:rFonts w:cs="Calibri"/>
          <w:b/>
          <w:bCs/>
          <w:sz w:val="32"/>
          <w:szCs w:val="32"/>
        </w:rPr>
      </w:pPr>
    </w:p>
    <w:p w:rsidR="00C47CD5" w:rsidRDefault="00C47CD5" w:rsidP="00346D17">
      <w:pPr>
        <w:widowControl w:val="0"/>
        <w:autoSpaceDE w:val="0"/>
        <w:autoSpaceDN w:val="0"/>
        <w:adjustRightInd w:val="0"/>
        <w:spacing w:after="0" w:line="240" w:lineRule="auto"/>
        <w:rPr>
          <w:rFonts w:cs="Calibri"/>
          <w:b/>
          <w:bCs/>
          <w:sz w:val="32"/>
          <w:szCs w:val="32"/>
        </w:rPr>
      </w:pPr>
    </w:p>
    <w:p w:rsidR="00346D17" w:rsidRDefault="00346D17" w:rsidP="00346D17">
      <w:pPr>
        <w:widowControl w:val="0"/>
        <w:autoSpaceDE w:val="0"/>
        <w:autoSpaceDN w:val="0"/>
        <w:adjustRightInd w:val="0"/>
        <w:spacing w:after="0" w:line="240" w:lineRule="auto"/>
        <w:rPr>
          <w:rFonts w:ascii="Times New Roman" w:hAnsi="Times New Roman"/>
          <w:sz w:val="24"/>
          <w:szCs w:val="24"/>
        </w:rPr>
      </w:pPr>
      <w:r>
        <w:rPr>
          <w:rFonts w:cs="Calibri"/>
          <w:b/>
          <w:bCs/>
          <w:sz w:val="32"/>
          <w:szCs w:val="32"/>
        </w:rPr>
        <w:lastRenderedPageBreak/>
        <w:t>2. PRIKAZ REZULTATA POSLOVANJA DRUŠTVA</w:t>
      </w:r>
    </w:p>
    <w:p w:rsidR="00346D17" w:rsidRDefault="00346D17" w:rsidP="00346D17">
      <w:pPr>
        <w:widowControl w:val="0"/>
        <w:autoSpaceDE w:val="0"/>
        <w:autoSpaceDN w:val="0"/>
        <w:adjustRightInd w:val="0"/>
        <w:spacing w:after="0" w:line="200" w:lineRule="exact"/>
        <w:rPr>
          <w:rFonts w:ascii="Times New Roman" w:hAnsi="Times New Roman"/>
          <w:sz w:val="24"/>
          <w:szCs w:val="24"/>
        </w:rPr>
      </w:pPr>
    </w:p>
    <w:p w:rsidR="00346D17" w:rsidRDefault="00346D17" w:rsidP="00C47CD5">
      <w:pPr>
        <w:widowControl w:val="0"/>
        <w:autoSpaceDE w:val="0"/>
        <w:autoSpaceDN w:val="0"/>
        <w:adjustRightInd w:val="0"/>
        <w:spacing w:after="0" w:line="240" w:lineRule="auto"/>
        <w:jc w:val="both"/>
        <w:rPr>
          <w:rFonts w:ascii="Times New Roman" w:hAnsi="Times New Roman"/>
          <w:sz w:val="24"/>
          <w:szCs w:val="24"/>
        </w:rPr>
      </w:pPr>
    </w:p>
    <w:p w:rsidR="00346D17" w:rsidRDefault="00346D17" w:rsidP="00C47CD5">
      <w:pPr>
        <w:widowControl w:val="0"/>
        <w:overflowPunct w:val="0"/>
        <w:autoSpaceDE w:val="0"/>
        <w:autoSpaceDN w:val="0"/>
        <w:adjustRightInd w:val="0"/>
        <w:spacing w:after="0" w:line="240" w:lineRule="auto"/>
        <w:jc w:val="both"/>
        <w:rPr>
          <w:rFonts w:ascii="Times New Roman" w:hAnsi="Times New Roman"/>
          <w:sz w:val="24"/>
          <w:szCs w:val="24"/>
        </w:rPr>
      </w:pPr>
      <w:r w:rsidRPr="00346D17">
        <w:rPr>
          <w:rFonts w:ascii="Times New Roman" w:hAnsi="Times New Roman"/>
          <w:sz w:val="24"/>
          <w:szCs w:val="24"/>
        </w:rPr>
        <w:t>U protekloj poslovnoj godini, Društvo je ostvarilo ukupne prihode, u iznosu od 52.028 tis. kuna i ukupne rashode, u iznosu od 51.424 tis. kuna. Kao razlika ukupnih prihoda i rashoda, ostvaren je dobitak nakon oporezivanja od 464.885 kuna. Skraćeni prikaz ostvarenih prihoda i rashoda po aktivnostima, kao i na ukupnoj razini, dan je u tablici br. 5.</w:t>
      </w:r>
    </w:p>
    <w:p w:rsidR="00346D17" w:rsidRDefault="00346D17" w:rsidP="00346D17">
      <w:pPr>
        <w:widowControl w:val="0"/>
        <w:overflowPunct w:val="0"/>
        <w:autoSpaceDE w:val="0"/>
        <w:autoSpaceDN w:val="0"/>
        <w:adjustRightInd w:val="0"/>
        <w:spacing w:after="0"/>
        <w:jc w:val="both"/>
        <w:rPr>
          <w:rFonts w:ascii="Times New Roman" w:hAnsi="Times New Roman"/>
          <w:sz w:val="24"/>
          <w:szCs w:val="24"/>
        </w:rPr>
      </w:pPr>
    </w:p>
    <w:p w:rsidR="00346D17" w:rsidRPr="00C47CD5" w:rsidRDefault="00346D17" w:rsidP="00346D17">
      <w:pPr>
        <w:widowControl w:val="0"/>
        <w:autoSpaceDE w:val="0"/>
        <w:autoSpaceDN w:val="0"/>
        <w:adjustRightInd w:val="0"/>
        <w:spacing w:after="0" w:line="239" w:lineRule="auto"/>
        <w:rPr>
          <w:rFonts w:ascii="Times New Roman" w:hAnsi="Times New Roman"/>
          <w:sz w:val="24"/>
          <w:szCs w:val="24"/>
        </w:rPr>
      </w:pPr>
      <w:r w:rsidRPr="00C47CD5">
        <w:rPr>
          <w:rFonts w:ascii="Times New Roman" w:hAnsi="Times New Roman"/>
          <w:b/>
          <w:bCs/>
          <w:sz w:val="24"/>
          <w:szCs w:val="24"/>
        </w:rPr>
        <w:t>Tablica 5. Rezultati poslovnih aktivnosti u razdoblju 2014.-2015.god.</w:t>
      </w:r>
    </w:p>
    <w:tbl>
      <w:tblPr>
        <w:tblW w:w="0" w:type="auto"/>
        <w:tblInd w:w="10" w:type="dxa"/>
        <w:tblLayout w:type="fixed"/>
        <w:tblCellMar>
          <w:left w:w="0" w:type="dxa"/>
          <w:right w:w="0" w:type="dxa"/>
        </w:tblCellMar>
        <w:tblLook w:val="0000" w:firstRow="0" w:lastRow="0" w:firstColumn="0" w:lastColumn="0" w:noHBand="0" w:noVBand="0"/>
      </w:tblPr>
      <w:tblGrid>
        <w:gridCol w:w="100"/>
        <w:gridCol w:w="740"/>
        <w:gridCol w:w="120"/>
        <w:gridCol w:w="100"/>
        <w:gridCol w:w="3040"/>
        <w:gridCol w:w="120"/>
        <w:gridCol w:w="80"/>
        <w:gridCol w:w="1540"/>
        <w:gridCol w:w="120"/>
        <w:gridCol w:w="100"/>
        <w:gridCol w:w="1600"/>
        <w:gridCol w:w="120"/>
        <w:gridCol w:w="80"/>
        <w:gridCol w:w="1100"/>
        <w:gridCol w:w="120"/>
        <w:gridCol w:w="30"/>
      </w:tblGrid>
      <w:tr w:rsidR="00346D17" w:rsidRPr="00481167" w:rsidTr="00933A35">
        <w:trPr>
          <w:trHeight w:val="183"/>
        </w:trPr>
        <w:tc>
          <w:tcPr>
            <w:tcW w:w="100" w:type="dxa"/>
            <w:tcBorders>
              <w:top w:val="single" w:sz="8" w:space="0" w:color="auto"/>
              <w:left w:val="single" w:sz="8" w:space="0" w:color="auto"/>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5"/>
                <w:szCs w:val="15"/>
              </w:rPr>
            </w:pPr>
          </w:p>
        </w:tc>
        <w:tc>
          <w:tcPr>
            <w:tcW w:w="740" w:type="dxa"/>
            <w:vMerge w:val="restart"/>
            <w:tcBorders>
              <w:top w:val="single" w:sz="8" w:space="0" w:color="auto"/>
              <w:left w:val="nil"/>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4"/>
                <w:szCs w:val="24"/>
              </w:rPr>
            </w:pPr>
            <w:r w:rsidRPr="00481167">
              <w:rPr>
                <w:rFonts w:cs="Calibri"/>
                <w:b/>
                <w:bCs/>
                <w:color w:val="FFFFFF"/>
                <w:w w:val="98"/>
                <w:sz w:val="24"/>
                <w:szCs w:val="24"/>
              </w:rPr>
              <w:t>Red.br.</w:t>
            </w:r>
          </w:p>
        </w:tc>
        <w:tc>
          <w:tcPr>
            <w:tcW w:w="120" w:type="dxa"/>
            <w:tcBorders>
              <w:top w:val="single" w:sz="8" w:space="0" w:color="auto"/>
              <w:left w:val="nil"/>
              <w:bottom w:val="nil"/>
              <w:right w:val="single" w:sz="8" w:space="0" w:color="auto"/>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5"/>
                <w:szCs w:val="15"/>
              </w:rPr>
            </w:pPr>
          </w:p>
        </w:tc>
        <w:tc>
          <w:tcPr>
            <w:tcW w:w="3040" w:type="dxa"/>
            <w:vMerge w:val="restart"/>
            <w:tcBorders>
              <w:top w:val="single" w:sz="8" w:space="0" w:color="auto"/>
              <w:left w:val="nil"/>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ind w:left="1240"/>
              <w:rPr>
                <w:rFonts w:ascii="Times New Roman" w:hAnsi="Times New Roman"/>
                <w:sz w:val="24"/>
                <w:szCs w:val="24"/>
              </w:rPr>
            </w:pPr>
            <w:r w:rsidRPr="00481167">
              <w:rPr>
                <w:rFonts w:cs="Calibri"/>
                <w:b/>
                <w:bCs/>
                <w:color w:val="FFFFFF"/>
                <w:sz w:val="24"/>
                <w:szCs w:val="24"/>
              </w:rPr>
              <w:t>Naziv</w:t>
            </w:r>
          </w:p>
        </w:tc>
        <w:tc>
          <w:tcPr>
            <w:tcW w:w="120" w:type="dxa"/>
            <w:tcBorders>
              <w:top w:val="single" w:sz="8" w:space="0" w:color="auto"/>
              <w:left w:val="nil"/>
              <w:bottom w:val="nil"/>
              <w:right w:val="single" w:sz="8" w:space="0" w:color="auto"/>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single" w:sz="8" w:space="0" w:color="auto"/>
              <w:left w:val="nil"/>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5"/>
                <w:szCs w:val="15"/>
              </w:rPr>
            </w:pPr>
          </w:p>
        </w:tc>
        <w:tc>
          <w:tcPr>
            <w:tcW w:w="1540" w:type="dxa"/>
            <w:vMerge w:val="restart"/>
            <w:tcBorders>
              <w:top w:val="single" w:sz="8" w:space="0" w:color="auto"/>
              <w:left w:val="nil"/>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ind w:right="366"/>
              <w:jc w:val="right"/>
              <w:rPr>
                <w:rFonts w:ascii="Times New Roman" w:hAnsi="Times New Roman"/>
                <w:sz w:val="24"/>
                <w:szCs w:val="24"/>
              </w:rPr>
            </w:pPr>
            <w:r w:rsidRPr="00481167">
              <w:rPr>
                <w:rFonts w:cs="Calibri"/>
                <w:b/>
                <w:bCs/>
                <w:color w:val="FFFFFF"/>
                <w:sz w:val="24"/>
                <w:szCs w:val="24"/>
              </w:rPr>
              <w:t>2014.</w:t>
            </w:r>
          </w:p>
        </w:tc>
        <w:tc>
          <w:tcPr>
            <w:tcW w:w="120" w:type="dxa"/>
            <w:tcBorders>
              <w:top w:val="single" w:sz="8" w:space="0" w:color="auto"/>
              <w:left w:val="nil"/>
              <w:bottom w:val="nil"/>
              <w:right w:val="single" w:sz="8" w:space="0" w:color="auto"/>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5"/>
                <w:szCs w:val="15"/>
              </w:rPr>
            </w:pPr>
          </w:p>
        </w:tc>
        <w:tc>
          <w:tcPr>
            <w:tcW w:w="1600" w:type="dxa"/>
            <w:vMerge w:val="restart"/>
            <w:tcBorders>
              <w:top w:val="single" w:sz="8" w:space="0" w:color="auto"/>
              <w:left w:val="nil"/>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ind w:right="406"/>
              <w:jc w:val="right"/>
              <w:rPr>
                <w:rFonts w:ascii="Times New Roman" w:hAnsi="Times New Roman"/>
                <w:sz w:val="24"/>
                <w:szCs w:val="24"/>
              </w:rPr>
            </w:pPr>
            <w:r w:rsidRPr="00481167">
              <w:rPr>
                <w:rFonts w:cs="Calibri"/>
                <w:b/>
                <w:bCs/>
                <w:color w:val="FFFFFF"/>
                <w:sz w:val="24"/>
                <w:szCs w:val="24"/>
              </w:rPr>
              <w:t>2015.</w:t>
            </w:r>
          </w:p>
        </w:tc>
        <w:tc>
          <w:tcPr>
            <w:tcW w:w="120" w:type="dxa"/>
            <w:tcBorders>
              <w:top w:val="single" w:sz="8" w:space="0" w:color="auto"/>
              <w:left w:val="nil"/>
              <w:bottom w:val="nil"/>
              <w:right w:val="single" w:sz="8" w:space="0" w:color="auto"/>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single" w:sz="8" w:space="0" w:color="auto"/>
              <w:left w:val="nil"/>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5"/>
                <w:szCs w:val="15"/>
              </w:rPr>
            </w:pPr>
          </w:p>
        </w:tc>
        <w:tc>
          <w:tcPr>
            <w:tcW w:w="1100" w:type="dxa"/>
            <w:vMerge w:val="restart"/>
            <w:tcBorders>
              <w:top w:val="single" w:sz="8" w:space="0" w:color="auto"/>
              <w:left w:val="nil"/>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ind w:right="146"/>
              <w:jc w:val="right"/>
              <w:rPr>
                <w:rFonts w:ascii="Times New Roman" w:hAnsi="Times New Roman"/>
                <w:sz w:val="24"/>
                <w:szCs w:val="24"/>
              </w:rPr>
            </w:pPr>
            <w:r w:rsidRPr="00481167">
              <w:rPr>
                <w:rFonts w:cs="Calibri"/>
                <w:b/>
                <w:bCs/>
                <w:color w:val="FFFFFF"/>
                <w:sz w:val="24"/>
                <w:szCs w:val="24"/>
              </w:rPr>
              <w:t>Index</w:t>
            </w:r>
          </w:p>
        </w:tc>
        <w:tc>
          <w:tcPr>
            <w:tcW w:w="120" w:type="dxa"/>
            <w:tcBorders>
              <w:top w:val="single" w:sz="8" w:space="0" w:color="auto"/>
              <w:left w:val="nil"/>
              <w:bottom w:val="nil"/>
              <w:right w:val="single" w:sz="8" w:space="0" w:color="auto"/>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
                <w:szCs w:val="2"/>
              </w:rPr>
            </w:pPr>
          </w:p>
        </w:tc>
      </w:tr>
      <w:tr w:rsidR="00346D17" w:rsidRPr="00481167" w:rsidTr="00933A35">
        <w:trPr>
          <w:trHeight w:val="293"/>
        </w:trPr>
        <w:tc>
          <w:tcPr>
            <w:tcW w:w="100" w:type="dxa"/>
            <w:tcBorders>
              <w:top w:val="nil"/>
              <w:left w:val="single" w:sz="8" w:space="0" w:color="auto"/>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4"/>
                <w:szCs w:val="24"/>
              </w:rPr>
            </w:pPr>
          </w:p>
        </w:tc>
        <w:tc>
          <w:tcPr>
            <w:tcW w:w="740" w:type="dxa"/>
            <w:vMerge/>
            <w:tcBorders>
              <w:top w:val="nil"/>
              <w:left w:val="nil"/>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4"/>
                <w:szCs w:val="24"/>
              </w:rPr>
            </w:pPr>
          </w:p>
        </w:tc>
        <w:tc>
          <w:tcPr>
            <w:tcW w:w="3040" w:type="dxa"/>
            <w:vMerge/>
            <w:tcBorders>
              <w:top w:val="nil"/>
              <w:left w:val="nil"/>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4"/>
                <w:szCs w:val="24"/>
              </w:rPr>
            </w:pPr>
          </w:p>
        </w:tc>
        <w:tc>
          <w:tcPr>
            <w:tcW w:w="1540" w:type="dxa"/>
            <w:vMerge/>
            <w:tcBorders>
              <w:top w:val="nil"/>
              <w:left w:val="nil"/>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4"/>
                <w:szCs w:val="24"/>
              </w:rPr>
            </w:pPr>
          </w:p>
        </w:tc>
        <w:tc>
          <w:tcPr>
            <w:tcW w:w="1600" w:type="dxa"/>
            <w:vMerge/>
            <w:tcBorders>
              <w:top w:val="nil"/>
              <w:left w:val="nil"/>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4"/>
                <w:szCs w:val="24"/>
              </w:rPr>
            </w:pPr>
          </w:p>
        </w:tc>
        <w:tc>
          <w:tcPr>
            <w:tcW w:w="1100" w:type="dxa"/>
            <w:vMerge/>
            <w:tcBorders>
              <w:top w:val="nil"/>
              <w:left w:val="nil"/>
              <w:bottom w:val="nil"/>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
                <w:szCs w:val="2"/>
              </w:rPr>
            </w:pPr>
          </w:p>
        </w:tc>
      </w:tr>
      <w:tr w:rsidR="00346D17" w:rsidRPr="00481167" w:rsidTr="00933A35">
        <w:trPr>
          <w:trHeight w:val="225"/>
        </w:trPr>
        <w:tc>
          <w:tcPr>
            <w:tcW w:w="100" w:type="dxa"/>
            <w:tcBorders>
              <w:top w:val="nil"/>
              <w:left w:val="single" w:sz="8" w:space="0" w:color="auto"/>
              <w:bottom w:val="single" w:sz="8" w:space="0" w:color="auto"/>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9"/>
                <w:szCs w:val="19"/>
              </w:rPr>
            </w:pPr>
          </w:p>
        </w:tc>
        <w:tc>
          <w:tcPr>
            <w:tcW w:w="740" w:type="dxa"/>
            <w:tcBorders>
              <w:top w:val="nil"/>
              <w:left w:val="nil"/>
              <w:bottom w:val="single" w:sz="8" w:space="0" w:color="auto"/>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single" w:sz="8" w:space="0" w:color="auto"/>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9"/>
                <w:szCs w:val="19"/>
              </w:rPr>
            </w:pPr>
          </w:p>
        </w:tc>
        <w:tc>
          <w:tcPr>
            <w:tcW w:w="3040" w:type="dxa"/>
            <w:tcBorders>
              <w:top w:val="nil"/>
              <w:left w:val="nil"/>
              <w:bottom w:val="single" w:sz="8" w:space="0" w:color="auto"/>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single" w:sz="8" w:space="0" w:color="auto"/>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9"/>
                <w:szCs w:val="19"/>
              </w:rPr>
            </w:pPr>
          </w:p>
        </w:tc>
        <w:tc>
          <w:tcPr>
            <w:tcW w:w="1540" w:type="dxa"/>
            <w:tcBorders>
              <w:top w:val="nil"/>
              <w:left w:val="nil"/>
              <w:bottom w:val="single" w:sz="8" w:space="0" w:color="auto"/>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9"/>
                <w:szCs w:val="19"/>
              </w:rPr>
            </w:pPr>
          </w:p>
        </w:tc>
        <w:tc>
          <w:tcPr>
            <w:tcW w:w="100" w:type="dxa"/>
            <w:tcBorders>
              <w:top w:val="nil"/>
              <w:left w:val="nil"/>
              <w:bottom w:val="single" w:sz="8" w:space="0" w:color="auto"/>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9"/>
                <w:szCs w:val="19"/>
              </w:rPr>
            </w:pPr>
          </w:p>
        </w:tc>
        <w:tc>
          <w:tcPr>
            <w:tcW w:w="1600" w:type="dxa"/>
            <w:tcBorders>
              <w:top w:val="nil"/>
              <w:left w:val="nil"/>
              <w:bottom w:val="single" w:sz="8" w:space="0" w:color="auto"/>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single" w:sz="8" w:space="0" w:color="auto"/>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9"/>
                <w:szCs w:val="19"/>
              </w:rPr>
            </w:pPr>
          </w:p>
        </w:tc>
        <w:tc>
          <w:tcPr>
            <w:tcW w:w="1100" w:type="dxa"/>
            <w:tcBorders>
              <w:top w:val="nil"/>
              <w:left w:val="nil"/>
              <w:bottom w:val="single" w:sz="8" w:space="0" w:color="auto"/>
              <w:right w:val="nil"/>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
                <w:szCs w:val="2"/>
              </w:rPr>
            </w:pPr>
          </w:p>
        </w:tc>
      </w:tr>
      <w:tr w:rsidR="00346D17" w:rsidRPr="00481167" w:rsidTr="00933A35">
        <w:trPr>
          <w:trHeight w:val="265"/>
        </w:trPr>
        <w:tc>
          <w:tcPr>
            <w:tcW w:w="100" w:type="dxa"/>
            <w:tcBorders>
              <w:top w:val="single" w:sz="8" w:space="0" w:color="F79646"/>
              <w:left w:val="single" w:sz="8" w:space="0" w:color="auto"/>
              <w:bottom w:val="single" w:sz="8" w:space="0" w:color="auto"/>
              <w:right w:val="nil"/>
            </w:tcBorders>
            <w:shd w:val="clear" w:color="auto" w:fill="F79646"/>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3"/>
                <w:szCs w:val="23"/>
              </w:rPr>
            </w:pPr>
          </w:p>
        </w:tc>
        <w:tc>
          <w:tcPr>
            <w:tcW w:w="740" w:type="dxa"/>
            <w:tcBorders>
              <w:top w:val="single" w:sz="8" w:space="0" w:color="F79646"/>
              <w:left w:val="nil"/>
              <w:bottom w:val="single" w:sz="8" w:space="0" w:color="auto"/>
              <w:right w:val="nil"/>
            </w:tcBorders>
            <w:shd w:val="clear" w:color="auto" w:fill="F79646"/>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F79646"/>
              <w:left w:val="nil"/>
              <w:bottom w:val="single" w:sz="8" w:space="0" w:color="auto"/>
              <w:right w:val="nil"/>
            </w:tcBorders>
            <w:shd w:val="clear" w:color="auto" w:fill="F79646"/>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3"/>
                <w:szCs w:val="23"/>
              </w:rPr>
            </w:pPr>
          </w:p>
        </w:tc>
        <w:tc>
          <w:tcPr>
            <w:tcW w:w="3040" w:type="dxa"/>
            <w:tcBorders>
              <w:top w:val="single" w:sz="8" w:space="0" w:color="F79646"/>
              <w:left w:val="nil"/>
              <w:bottom w:val="single" w:sz="8" w:space="0" w:color="auto"/>
              <w:right w:val="nil"/>
            </w:tcBorders>
            <w:shd w:val="clear" w:color="auto" w:fill="F79646"/>
            <w:vAlign w:val="bottom"/>
          </w:tcPr>
          <w:p w:rsidR="00346D17" w:rsidRPr="00481167" w:rsidRDefault="00346D17" w:rsidP="00933A35">
            <w:pPr>
              <w:widowControl w:val="0"/>
              <w:autoSpaceDE w:val="0"/>
              <w:autoSpaceDN w:val="0"/>
              <w:adjustRightInd w:val="0"/>
              <w:spacing w:after="0" w:line="260" w:lineRule="exact"/>
              <w:ind w:left="1460"/>
              <w:rPr>
                <w:rFonts w:ascii="Times New Roman" w:hAnsi="Times New Roman"/>
                <w:sz w:val="24"/>
                <w:szCs w:val="24"/>
              </w:rPr>
            </w:pPr>
            <w:r w:rsidRPr="00481167">
              <w:rPr>
                <w:rFonts w:cs="Calibri"/>
              </w:rPr>
              <w:t>1</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F79646"/>
              <w:left w:val="nil"/>
              <w:bottom w:val="single" w:sz="8" w:space="0" w:color="auto"/>
              <w:right w:val="nil"/>
            </w:tcBorders>
            <w:shd w:val="clear" w:color="auto" w:fill="F79646"/>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3"/>
                <w:szCs w:val="23"/>
              </w:rPr>
            </w:pPr>
          </w:p>
        </w:tc>
        <w:tc>
          <w:tcPr>
            <w:tcW w:w="1540" w:type="dxa"/>
            <w:tcBorders>
              <w:top w:val="single" w:sz="8" w:space="0" w:color="F79646"/>
              <w:left w:val="nil"/>
              <w:bottom w:val="single" w:sz="8" w:space="0" w:color="auto"/>
              <w:right w:val="nil"/>
            </w:tcBorders>
            <w:shd w:val="clear" w:color="auto" w:fill="F79646"/>
            <w:vAlign w:val="bottom"/>
          </w:tcPr>
          <w:p w:rsidR="00346D17" w:rsidRPr="00481167" w:rsidRDefault="00346D17" w:rsidP="00933A35">
            <w:pPr>
              <w:widowControl w:val="0"/>
              <w:autoSpaceDE w:val="0"/>
              <w:autoSpaceDN w:val="0"/>
              <w:adjustRightInd w:val="0"/>
              <w:spacing w:after="0" w:line="260" w:lineRule="exact"/>
              <w:ind w:right="586"/>
              <w:jc w:val="right"/>
              <w:rPr>
                <w:rFonts w:ascii="Times New Roman" w:hAnsi="Times New Roman"/>
                <w:sz w:val="24"/>
                <w:szCs w:val="24"/>
              </w:rPr>
            </w:pPr>
            <w:r w:rsidRPr="00481167">
              <w:rPr>
                <w:rFonts w:cs="Calibri"/>
              </w:rPr>
              <w:t>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F79646"/>
              <w:left w:val="nil"/>
              <w:bottom w:val="single" w:sz="8" w:space="0" w:color="auto"/>
              <w:right w:val="nil"/>
            </w:tcBorders>
            <w:shd w:val="clear" w:color="auto" w:fill="F79646"/>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3"/>
                <w:szCs w:val="23"/>
              </w:rPr>
            </w:pPr>
          </w:p>
        </w:tc>
        <w:tc>
          <w:tcPr>
            <w:tcW w:w="1600" w:type="dxa"/>
            <w:tcBorders>
              <w:top w:val="single" w:sz="8" w:space="0" w:color="F79646"/>
              <w:left w:val="nil"/>
              <w:bottom w:val="single" w:sz="8" w:space="0" w:color="auto"/>
              <w:right w:val="nil"/>
            </w:tcBorders>
            <w:shd w:val="clear" w:color="auto" w:fill="F79646"/>
            <w:vAlign w:val="bottom"/>
          </w:tcPr>
          <w:p w:rsidR="00346D17" w:rsidRPr="00481167" w:rsidRDefault="00346D17" w:rsidP="00933A35">
            <w:pPr>
              <w:widowControl w:val="0"/>
              <w:autoSpaceDE w:val="0"/>
              <w:autoSpaceDN w:val="0"/>
              <w:adjustRightInd w:val="0"/>
              <w:spacing w:after="0" w:line="260" w:lineRule="exact"/>
              <w:ind w:right="626"/>
              <w:jc w:val="right"/>
              <w:rPr>
                <w:rFonts w:ascii="Times New Roman" w:hAnsi="Times New Roman"/>
                <w:sz w:val="24"/>
                <w:szCs w:val="24"/>
              </w:rPr>
            </w:pPr>
            <w:r w:rsidRPr="00481167">
              <w:rPr>
                <w:rFonts w:cs="Calibri"/>
              </w:rPr>
              <w:t>3</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F79646"/>
              <w:left w:val="nil"/>
              <w:bottom w:val="single" w:sz="8" w:space="0" w:color="auto"/>
              <w:right w:val="nil"/>
            </w:tcBorders>
            <w:shd w:val="clear" w:color="auto" w:fill="F79646"/>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3"/>
                <w:szCs w:val="23"/>
              </w:rPr>
            </w:pPr>
          </w:p>
        </w:tc>
        <w:tc>
          <w:tcPr>
            <w:tcW w:w="1100" w:type="dxa"/>
            <w:tcBorders>
              <w:top w:val="single" w:sz="8" w:space="0" w:color="F79646"/>
              <w:left w:val="nil"/>
              <w:bottom w:val="single" w:sz="8" w:space="0" w:color="auto"/>
              <w:right w:val="nil"/>
            </w:tcBorders>
            <w:shd w:val="clear" w:color="auto" w:fill="F79646"/>
            <w:vAlign w:val="bottom"/>
          </w:tcPr>
          <w:p w:rsidR="00346D17" w:rsidRPr="00481167" w:rsidRDefault="00346D17" w:rsidP="00933A35">
            <w:pPr>
              <w:widowControl w:val="0"/>
              <w:autoSpaceDE w:val="0"/>
              <w:autoSpaceDN w:val="0"/>
              <w:adjustRightInd w:val="0"/>
              <w:spacing w:after="0" w:line="260" w:lineRule="exact"/>
              <w:jc w:val="right"/>
              <w:rPr>
                <w:rFonts w:ascii="Times New Roman" w:hAnsi="Times New Roman"/>
                <w:sz w:val="24"/>
                <w:szCs w:val="24"/>
              </w:rPr>
            </w:pPr>
            <w:r w:rsidRPr="00481167">
              <w:rPr>
                <w:rFonts w:cs="Calibri"/>
              </w:rPr>
              <w:t>4(3/2*100)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
                <w:szCs w:val="2"/>
              </w:rPr>
            </w:pPr>
          </w:p>
        </w:tc>
      </w:tr>
      <w:tr w:rsidR="00346D17" w:rsidRPr="00481167" w:rsidTr="00933A35">
        <w:trPr>
          <w:trHeight w:val="290"/>
        </w:trPr>
        <w:tc>
          <w:tcPr>
            <w:tcW w:w="840" w:type="dxa"/>
            <w:gridSpan w:val="2"/>
            <w:tcBorders>
              <w:top w:val="nil"/>
              <w:left w:val="single" w:sz="8" w:space="0" w:color="auto"/>
              <w:bottom w:val="single" w:sz="8" w:space="0" w:color="auto"/>
              <w:right w:val="nil"/>
            </w:tcBorders>
            <w:vAlign w:val="bottom"/>
          </w:tcPr>
          <w:p w:rsidR="00346D17" w:rsidRPr="00C47CD5" w:rsidRDefault="00346D17"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cs="Calibri"/>
              </w:rPr>
              <w:t>1.</w:t>
            </w:r>
          </w:p>
        </w:tc>
        <w:tc>
          <w:tcPr>
            <w:tcW w:w="120" w:type="dxa"/>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3160" w:type="dxa"/>
            <w:gridSpan w:val="2"/>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67" w:lineRule="exact"/>
              <w:rPr>
                <w:rFonts w:asciiTheme="minorHAnsi" w:hAnsiTheme="minorHAnsi"/>
              </w:rPr>
            </w:pPr>
            <w:r w:rsidRPr="00C47CD5">
              <w:rPr>
                <w:rFonts w:asciiTheme="minorHAnsi" w:hAnsiTheme="minorHAnsi" w:cs="Calibri"/>
              </w:rPr>
              <w:t>Poslovni prihodi</w:t>
            </w:r>
          </w:p>
        </w:tc>
        <w:tc>
          <w:tcPr>
            <w:tcW w:w="174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55.880.357</w:t>
            </w:r>
          </w:p>
        </w:tc>
        <w:tc>
          <w:tcPr>
            <w:tcW w:w="182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51.998.666</w:t>
            </w:r>
          </w:p>
        </w:tc>
        <w:tc>
          <w:tcPr>
            <w:tcW w:w="130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93,05</w:t>
            </w:r>
          </w:p>
        </w:tc>
        <w:tc>
          <w:tcPr>
            <w:tcW w:w="0" w:type="dxa"/>
            <w:tcBorders>
              <w:top w:val="nil"/>
              <w:left w:val="nil"/>
              <w:bottom w:val="nil"/>
              <w:right w:val="nil"/>
            </w:tcBorders>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
                <w:szCs w:val="2"/>
              </w:rPr>
            </w:pPr>
          </w:p>
        </w:tc>
      </w:tr>
      <w:tr w:rsidR="00346D17" w:rsidRPr="00481167" w:rsidTr="00933A35">
        <w:trPr>
          <w:trHeight w:val="290"/>
        </w:trPr>
        <w:tc>
          <w:tcPr>
            <w:tcW w:w="840" w:type="dxa"/>
            <w:gridSpan w:val="2"/>
            <w:tcBorders>
              <w:top w:val="nil"/>
              <w:left w:val="single" w:sz="8" w:space="0" w:color="auto"/>
              <w:bottom w:val="single" w:sz="8" w:space="0" w:color="auto"/>
              <w:right w:val="nil"/>
            </w:tcBorders>
            <w:vAlign w:val="bottom"/>
          </w:tcPr>
          <w:p w:rsidR="00346D17" w:rsidRPr="00C47CD5" w:rsidRDefault="00346D17"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cs="Calibri"/>
              </w:rPr>
              <w:t>2.</w:t>
            </w:r>
          </w:p>
        </w:tc>
        <w:tc>
          <w:tcPr>
            <w:tcW w:w="120" w:type="dxa"/>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3160" w:type="dxa"/>
            <w:gridSpan w:val="2"/>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67" w:lineRule="exact"/>
              <w:rPr>
                <w:rFonts w:asciiTheme="minorHAnsi" w:hAnsiTheme="minorHAnsi"/>
              </w:rPr>
            </w:pPr>
            <w:r w:rsidRPr="00C47CD5">
              <w:rPr>
                <w:rFonts w:asciiTheme="minorHAnsi" w:hAnsiTheme="minorHAnsi" w:cs="Calibri"/>
              </w:rPr>
              <w:t>Poslovni rashodi</w:t>
            </w:r>
          </w:p>
        </w:tc>
        <w:tc>
          <w:tcPr>
            <w:tcW w:w="174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55.080.822</w:t>
            </w:r>
          </w:p>
        </w:tc>
        <w:tc>
          <w:tcPr>
            <w:tcW w:w="182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50.905.979</w:t>
            </w:r>
          </w:p>
        </w:tc>
        <w:tc>
          <w:tcPr>
            <w:tcW w:w="130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92,42</w:t>
            </w:r>
          </w:p>
        </w:tc>
        <w:tc>
          <w:tcPr>
            <w:tcW w:w="0" w:type="dxa"/>
            <w:tcBorders>
              <w:top w:val="nil"/>
              <w:left w:val="nil"/>
              <w:bottom w:val="nil"/>
              <w:right w:val="nil"/>
            </w:tcBorders>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
                <w:szCs w:val="2"/>
              </w:rPr>
            </w:pPr>
          </w:p>
        </w:tc>
      </w:tr>
      <w:tr w:rsidR="00346D17" w:rsidRPr="00481167" w:rsidTr="00933A35">
        <w:trPr>
          <w:trHeight w:val="306"/>
        </w:trPr>
        <w:tc>
          <w:tcPr>
            <w:tcW w:w="840" w:type="dxa"/>
            <w:gridSpan w:val="2"/>
            <w:tcBorders>
              <w:top w:val="nil"/>
              <w:left w:val="single" w:sz="8" w:space="0" w:color="auto"/>
              <w:bottom w:val="single" w:sz="8" w:space="0" w:color="auto"/>
              <w:right w:val="nil"/>
            </w:tcBorders>
            <w:vAlign w:val="bottom"/>
          </w:tcPr>
          <w:p w:rsidR="00346D17" w:rsidRPr="00C47CD5" w:rsidRDefault="00346D17"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cs="Calibri"/>
              </w:rPr>
              <w:t>3.</w:t>
            </w:r>
          </w:p>
        </w:tc>
        <w:tc>
          <w:tcPr>
            <w:tcW w:w="120" w:type="dxa"/>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3160" w:type="dxa"/>
            <w:gridSpan w:val="2"/>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67" w:lineRule="exact"/>
              <w:rPr>
                <w:rFonts w:asciiTheme="minorHAnsi" w:hAnsiTheme="minorHAnsi"/>
              </w:rPr>
            </w:pPr>
            <w:r w:rsidRPr="00C47CD5">
              <w:rPr>
                <w:rFonts w:asciiTheme="minorHAnsi" w:hAnsiTheme="minorHAnsi" w:cs="Calibri"/>
                <w:b/>
                <w:bCs/>
              </w:rPr>
              <w:t>Rezultat iz poslovnih aktivnosti</w:t>
            </w:r>
          </w:p>
        </w:tc>
        <w:tc>
          <w:tcPr>
            <w:tcW w:w="174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67" w:lineRule="exact"/>
              <w:ind w:right="120"/>
              <w:jc w:val="right"/>
              <w:rPr>
                <w:rFonts w:asciiTheme="minorHAnsi" w:hAnsiTheme="minorHAnsi"/>
                <w:b/>
              </w:rPr>
            </w:pPr>
            <w:r w:rsidRPr="00C47CD5">
              <w:rPr>
                <w:rFonts w:asciiTheme="minorHAnsi" w:hAnsiTheme="minorHAnsi"/>
                <w:b/>
              </w:rPr>
              <w:t>799.535</w:t>
            </w:r>
          </w:p>
        </w:tc>
        <w:tc>
          <w:tcPr>
            <w:tcW w:w="182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67" w:lineRule="exact"/>
              <w:ind w:right="120"/>
              <w:jc w:val="right"/>
              <w:rPr>
                <w:rFonts w:asciiTheme="minorHAnsi" w:hAnsiTheme="minorHAnsi"/>
                <w:b/>
              </w:rPr>
            </w:pPr>
            <w:r w:rsidRPr="00C47CD5">
              <w:rPr>
                <w:rFonts w:asciiTheme="minorHAnsi" w:hAnsiTheme="minorHAnsi"/>
                <w:b/>
              </w:rPr>
              <w:t>1.092.687</w:t>
            </w:r>
          </w:p>
        </w:tc>
        <w:tc>
          <w:tcPr>
            <w:tcW w:w="130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67" w:lineRule="exact"/>
              <w:ind w:right="120"/>
              <w:jc w:val="right"/>
              <w:rPr>
                <w:rFonts w:asciiTheme="minorHAnsi" w:hAnsiTheme="minorHAnsi"/>
                <w:b/>
              </w:rPr>
            </w:pPr>
            <w:r w:rsidRPr="00C47CD5">
              <w:rPr>
                <w:rFonts w:asciiTheme="minorHAnsi" w:hAnsiTheme="minorHAnsi"/>
                <w:b/>
              </w:rPr>
              <w:t>136,67</w:t>
            </w:r>
          </w:p>
        </w:tc>
        <w:tc>
          <w:tcPr>
            <w:tcW w:w="0" w:type="dxa"/>
            <w:tcBorders>
              <w:top w:val="nil"/>
              <w:left w:val="nil"/>
              <w:bottom w:val="nil"/>
              <w:right w:val="nil"/>
            </w:tcBorders>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
                <w:szCs w:val="2"/>
              </w:rPr>
            </w:pPr>
          </w:p>
        </w:tc>
      </w:tr>
      <w:tr w:rsidR="00346D17" w:rsidRPr="00481167" w:rsidTr="00933A35">
        <w:trPr>
          <w:trHeight w:val="290"/>
        </w:trPr>
        <w:tc>
          <w:tcPr>
            <w:tcW w:w="840" w:type="dxa"/>
            <w:gridSpan w:val="2"/>
            <w:tcBorders>
              <w:top w:val="nil"/>
              <w:left w:val="single" w:sz="8" w:space="0" w:color="auto"/>
              <w:bottom w:val="single" w:sz="8" w:space="0" w:color="auto"/>
              <w:right w:val="nil"/>
            </w:tcBorders>
            <w:vAlign w:val="bottom"/>
          </w:tcPr>
          <w:p w:rsidR="00346D17" w:rsidRPr="00C47CD5" w:rsidRDefault="00346D17"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cs="Calibri"/>
              </w:rPr>
              <w:t>4.</w:t>
            </w:r>
          </w:p>
        </w:tc>
        <w:tc>
          <w:tcPr>
            <w:tcW w:w="120" w:type="dxa"/>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3160" w:type="dxa"/>
            <w:gridSpan w:val="2"/>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67" w:lineRule="exact"/>
              <w:rPr>
                <w:rFonts w:asciiTheme="minorHAnsi" w:hAnsiTheme="minorHAnsi"/>
              </w:rPr>
            </w:pPr>
            <w:r w:rsidRPr="00C47CD5">
              <w:rPr>
                <w:rFonts w:asciiTheme="minorHAnsi" w:hAnsiTheme="minorHAnsi" w:cs="Calibri"/>
              </w:rPr>
              <w:t>Financijski prihodi</w:t>
            </w:r>
          </w:p>
        </w:tc>
        <w:tc>
          <w:tcPr>
            <w:tcW w:w="174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10.827</w:t>
            </w:r>
          </w:p>
        </w:tc>
        <w:tc>
          <w:tcPr>
            <w:tcW w:w="182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29.764</w:t>
            </w:r>
          </w:p>
        </w:tc>
        <w:tc>
          <w:tcPr>
            <w:tcW w:w="130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274,91</w:t>
            </w:r>
          </w:p>
        </w:tc>
        <w:tc>
          <w:tcPr>
            <w:tcW w:w="0" w:type="dxa"/>
            <w:tcBorders>
              <w:top w:val="nil"/>
              <w:left w:val="nil"/>
              <w:bottom w:val="nil"/>
              <w:right w:val="nil"/>
            </w:tcBorders>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
                <w:szCs w:val="2"/>
              </w:rPr>
            </w:pPr>
          </w:p>
        </w:tc>
      </w:tr>
      <w:tr w:rsidR="00346D17" w:rsidRPr="00481167" w:rsidTr="00933A35">
        <w:trPr>
          <w:trHeight w:val="290"/>
        </w:trPr>
        <w:tc>
          <w:tcPr>
            <w:tcW w:w="840" w:type="dxa"/>
            <w:gridSpan w:val="2"/>
            <w:tcBorders>
              <w:top w:val="nil"/>
              <w:left w:val="single" w:sz="8" w:space="0" w:color="auto"/>
              <w:bottom w:val="single" w:sz="8" w:space="0" w:color="auto"/>
              <w:right w:val="nil"/>
            </w:tcBorders>
            <w:vAlign w:val="bottom"/>
          </w:tcPr>
          <w:p w:rsidR="00346D17" w:rsidRPr="00C47CD5" w:rsidRDefault="00346D17" w:rsidP="00933A35">
            <w:pPr>
              <w:widowControl w:val="0"/>
              <w:autoSpaceDE w:val="0"/>
              <w:autoSpaceDN w:val="0"/>
              <w:adjustRightInd w:val="0"/>
              <w:spacing w:after="0" w:line="267" w:lineRule="exact"/>
              <w:jc w:val="center"/>
              <w:rPr>
                <w:rFonts w:asciiTheme="minorHAnsi" w:hAnsiTheme="minorHAnsi"/>
              </w:rPr>
            </w:pPr>
            <w:r w:rsidRPr="00C47CD5">
              <w:rPr>
                <w:rFonts w:asciiTheme="minorHAnsi" w:hAnsiTheme="minorHAnsi" w:cs="Calibri"/>
              </w:rPr>
              <w:t>5.</w:t>
            </w:r>
          </w:p>
        </w:tc>
        <w:tc>
          <w:tcPr>
            <w:tcW w:w="120" w:type="dxa"/>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3160" w:type="dxa"/>
            <w:gridSpan w:val="2"/>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67" w:lineRule="exact"/>
              <w:rPr>
                <w:rFonts w:asciiTheme="minorHAnsi" w:hAnsiTheme="minorHAnsi"/>
              </w:rPr>
            </w:pPr>
            <w:r w:rsidRPr="00C47CD5">
              <w:rPr>
                <w:rFonts w:asciiTheme="minorHAnsi" w:hAnsiTheme="minorHAnsi" w:cs="Calibri"/>
              </w:rPr>
              <w:t>Financijski rashodi</w:t>
            </w:r>
          </w:p>
        </w:tc>
        <w:tc>
          <w:tcPr>
            <w:tcW w:w="174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582.294</w:t>
            </w:r>
          </w:p>
        </w:tc>
        <w:tc>
          <w:tcPr>
            <w:tcW w:w="182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518.213</w:t>
            </w:r>
          </w:p>
        </w:tc>
        <w:tc>
          <w:tcPr>
            <w:tcW w:w="130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89,00</w:t>
            </w:r>
          </w:p>
        </w:tc>
        <w:tc>
          <w:tcPr>
            <w:tcW w:w="0" w:type="dxa"/>
            <w:tcBorders>
              <w:top w:val="nil"/>
              <w:left w:val="nil"/>
              <w:bottom w:val="nil"/>
              <w:right w:val="nil"/>
            </w:tcBorders>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
                <w:szCs w:val="2"/>
              </w:rPr>
            </w:pPr>
          </w:p>
        </w:tc>
      </w:tr>
      <w:tr w:rsidR="00346D17" w:rsidRPr="00481167" w:rsidTr="00933A35">
        <w:trPr>
          <w:trHeight w:val="304"/>
        </w:trPr>
        <w:tc>
          <w:tcPr>
            <w:tcW w:w="840" w:type="dxa"/>
            <w:gridSpan w:val="2"/>
            <w:tcBorders>
              <w:top w:val="nil"/>
              <w:left w:val="single" w:sz="8" w:space="0" w:color="auto"/>
              <w:bottom w:val="single" w:sz="8" w:space="0" w:color="auto"/>
              <w:right w:val="nil"/>
            </w:tcBorders>
            <w:vAlign w:val="bottom"/>
          </w:tcPr>
          <w:p w:rsidR="00346D17" w:rsidRPr="00C47CD5" w:rsidRDefault="00346D17" w:rsidP="00933A3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cs="Calibri"/>
                <w:b/>
                <w:bCs/>
              </w:rPr>
              <w:t>6.</w:t>
            </w:r>
          </w:p>
        </w:tc>
        <w:tc>
          <w:tcPr>
            <w:tcW w:w="120" w:type="dxa"/>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3160" w:type="dxa"/>
            <w:gridSpan w:val="2"/>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r w:rsidRPr="00C47CD5">
              <w:rPr>
                <w:rFonts w:asciiTheme="minorHAnsi" w:hAnsiTheme="minorHAnsi" w:cs="Calibri"/>
                <w:b/>
                <w:bCs/>
              </w:rPr>
              <w:t>Rezultat iz financijskih aktivnosti</w:t>
            </w:r>
          </w:p>
        </w:tc>
        <w:tc>
          <w:tcPr>
            <w:tcW w:w="174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40" w:lineRule="auto"/>
              <w:ind w:right="120"/>
              <w:jc w:val="right"/>
              <w:rPr>
                <w:rFonts w:asciiTheme="minorHAnsi" w:hAnsiTheme="minorHAnsi"/>
                <w:b/>
              </w:rPr>
            </w:pPr>
            <w:r w:rsidRPr="00C47CD5">
              <w:rPr>
                <w:rFonts w:asciiTheme="minorHAnsi" w:hAnsiTheme="minorHAnsi"/>
                <w:b/>
              </w:rPr>
              <w:t>-571.467</w:t>
            </w:r>
          </w:p>
        </w:tc>
        <w:tc>
          <w:tcPr>
            <w:tcW w:w="182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40" w:lineRule="auto"/>
              <w:ind w:right="120"/>
              <w:jc w:val="right"/>
              <w:rPr>
                <w:rFonts w:asciiTheme="minorHAnsi" w:hAnsiTheme="minorHAnsi"/>
                <w:b/>
              </w:rPr>
            </w:pPr>
            <w:r w:rsidRPr="00C47CD5">
              <w:rPr>
                <w:rFonts w:asciiTheme="minorHAnsi" w:hAnsiTheme="minorHAnsi"/>
                <w:b/>
              </w:rPr>
              <w:t>-488.449</w:t>
            </w:r>
          </w:p>
        </w:tc>
        <w:tc>
          <w:tcPr>
            <w:tcW w:w="130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40" w:lineRule="auto"/>
              <w:ind w:right="120"/>
              <w:jc w:val="right"/>
              <w:rPr>
                <w:rFonts w:asciiTheme="minorHAnsi" w:hAnsiTheme="minorHAnsi"/>
                <w:b/>
              </w:rPr>
            </w:pPr>
            <w:r w:rsidRPr="00C47CD5">
              <w:rPr>
                <w:rFonts w:asciiTheme="minorHAnsi" w:hAnsiTheme="minorHAnsi"/>
                <w:b/>
              </w:rPr>
              <w:t>85,48</w:t>
            </w:r>
          </w:p>
        </w:tc>
        <w:tc>
          <w:tcPr>
            <w:tcW w:w="0" w:type="dxa"/>
            <w:tcBorders>
              <w:top w:val="nil"/>
              <w:left w:val="nil"/>
              <w:bottom w:val="nil"/>
              <w:right w:val="nil"/>
            </w:tcBorders>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
                <w:szCs w:val="2"/>
              </w:rPr>
            </w:pPr>
          </w:p>
        </w:tc>
      </w:tr>
      <w:tr w:rsidR="00346D17" w:rsidRPr="00481167" w:rsidTr="00933A35">
        <w:trPr>
          <w:trHeight w:val="291"/>
        </w:trPr>
        <w:tc>
          <w:tcPr>
            <w:tcW w:w="840" w:type="dxa"/>
            <w:gridSpan w:val="2"/>
            <w:tcBorders>
              <w:top w:val="nil"/>
              <w:left w:val="single" w:sz="8" w:space="0" w:color="auto"/>
              <w:bottom w:val="single" w:sz="8" w:space="0" w:color="auto"/>
              <w:right w:val="nil"/>
            </w:tcBorders>
            <w:vAlign w:val="bottom"/>
          </w:tcPr>
          <w:p w:rsidR="00346D17" w:rsidRPr="00C47CD5" w:rsidRDefault="00346D17" w:rsidP="00933A3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cs="Calibri"/>
              </w:rPr>
              <w:t>7.</w:t>
            </w:r>
          </w:p>
        </w:tc>
        <w:tc>
          <w:tcPr>
            <w:tcW w:w="120" w:type="dxa"/>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3160" w:type="dxa"/>
            <w:gridSpan w:val="2"/>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r w:rsidRPr="00C47CD5">
              <w:rPr>
                <w:rFonts w:asciiTheme="minorHAnsi" w:hAnsiTheme="minorHAnsi" w:cs="Calibri"/>
              </w:rPr>
              <w:t>UKUPNI PRIHODI (1+4)</w:t>
            </w:r>
          </w:p>
        </w:tc>
        <w:tc>
          <w:tcPr>
            <w:tcW w:w="174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55.891.184</w:t>
            </w:r>
          </w:p>
        </w:tc>
        <w:tc>
          <w:tcPr>
            <w:tcW w:w="182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52.028.430</w:t>
            </w:r>
          </w:p>
        </w:tc>
        <w:tc>
          <w:tcPr>
            <w:tcW w:w="130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93,10</w:t>
            </w:r>
          </w:p>
        </w:tc>
        <w:tc>
          <w:tcPr>
            <w:tcW w:w="0" w:type="dxa"/>
            <w:tcBorders>
              <w:top w:val="nil"/>
              <w:left w:val="nil"/>
              <w:bottom w:val="nil"/>
              <w:right w:val="nil"/>
            </w:tcBorders>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
                <w:szCs w:val="2"/>
              </w:rPr>
            </w:pPr>
          </w:p>
        </w:tc>
      </w:tr>
      <w:tr w:rsidR="00346D17" w:rsidRPr="00481167" w:rsidTr="00933A35">
        <w:trPr>
          <w:trHeight w:val="291"/>
        </w:trPr>
        <w:tc>
          <w:tcPr>
            <w:tcW w:w="840" w:type="dxa"/>
            <w:gridSpan w:val="2"/>
            <w:tcBorders>
              <w:top w:val="nil"/>
              <w:left w:val="single" w:sz="8" w:space="0" w:color="auto"/>
              <w:bottom w:val="single" w:sz="8" w:space="0" w:color="auto"/>
              <w:right w:val="nil"/>
            </w:tcBorders>
            <w:vAlign w:val="bottom"/>
          </w:tcPr>
          <w:p w:rsidR="00346D17" w:rsidRPr="00C47CD5" w:rsidRDefault="00346D17" w:rsidP="00933A3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cs="Calibri"/>
              </w:rPr>
              <w:t>8.</w:t>
            </w:r>
          </w:p>
        </w:tc>
        <w:tc>
          <w:tcPr>
            <w:tcW w:w="120" w:type="dxa"/>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3160" w:type="dxa"/>
            <w:gridSpan w:val="2"/>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r w:rsidRPr="00C47CD5">
              <w:rPr>
                <w:rFonts w:asciiTheme="minorHAnsi" w:hAnsiTheme="minorHAnsi" w:cs="Calibri"/>
              </w:rPr>
              <w:t>UKUPNI RASHODI (2+5)</w:t>
            </w:r>
          </w:p>
        </w:tc>
        <w:tc>
          <w:tcPr>
            <w:tcW w:w="174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55.663.116</w:t>
            </w:r>
          </w:p>
        </w:tc>
        <w:tc>
          <w:tcPr>
            <w:tcW w:w="182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51.424.192</w:t>
            </w:r>
          </w:p>
        </w:tc>
        <w:tc>
          <w:tcPr>
            <w:tcW w:w="130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92,38</w:t>
            </w:r>
          </w:p>
        </w:tc>
        <w:tc>
          <w:tcPr>
            <w:tcW w:w="0" w:type="dxa"/>
            <w:tcBorders>
              <w:top w:val="nil"/>
              <w:left w:val="nil"/>
              <w:bottom w:val="nil"/>
              <w:right w:val="nil"/>
            </w:tcBorders>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
                <w:szCs w:val="2"/>
              </w:rPr>
            </w:pPr>
          </w:p>
        </w:tc>
      </w:tr>
      <w:tr w:rsidR="00346D17" w:rsidRPr="00481167" w:rsidTr="00C47CD5">
        <w:trPr>
          <w:trHeight w:val="304"/>
        </w:trPr>
        <w:tc>
          <w:tcPr>
            <w:tcW w:w="840" w:type="dxa"/>
            <w:gridSpan w:val="2"/>
            <w:tcBorders>
              <w:top w:val="nil"/>
              <w:left w:val="single" w:sz="8" w:space="0" w:color="auto"/>
              <w:bottom w:val="single" w:sz="8" w:space="0" w:color="auto"/>
              <w:right w:val="nil"/>
            </w:tcBorders>
            <w:vAlign w:val="bottom"/>
          </w:tcPr>
          <w:p w:rsidR="00346D17" w:rsidRPr="00C47CD5" w:rsidRDefault="00346D17" w:rsidP="00933A35">
            <w:pPr>
              <w:widowControl w:val="0"/>
              <w:autoSpaceDE w:val="0"/>
              <w:autoSpaceDN w:val="0"/>
              <w:adjustRightInd w:val="0"/>
              <w:spacing w:after="0" w:line="240" w:lineRule="auto"/>
              <w:jc w:val="center"/>
              <w:rPr>
                <w:rFonts w:asciiTheme="minorHAnsi" w:hAnsiTheme="minorHAnsi"/>
              </w:rPr>
            </w:pPr>
            <w:r w:rsidRPr="00C47CD5">
              <w:rPr>
                <w:rFonts w:asciiTheme="minorHAnsi" w:hAnsiTheme="minorHAnsi" w:cs="Calibri"/>
              </w:rPr>
              <w:t>9.</w:t>
            </w:r>
          </w:p>
        </w:tc>
        <w:tc>
          <w:tcPr>
            <w:tcW w:w="120" w:type="dxa"/>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3160" w:type="dxa"/>
            <w:gridSpan w:val="2"/>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r w:rsidRPr="00C47CD5">
              <w:rPr>
                <w:rFonts w:asciiTheme="minorHAnsi" w:hAnsiTheme="minorHAnsi" w:cs="Calibri"/>
                <w:b/>
                <w:bCs/>
              </w:rPr>
              <w:t>Rezultat prije oporezivanja (7-8)</w:t>
            </w:r>
          </w:p>
        </w:tc>
        <w:tc>
          <w:tcPr>
            <w:tcW w:w="174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40" w:lineRule="auto"/>
              <w:ind w:right="120"/>
              <w:jc w:val="right"/>
              <w:rPr>
                <w:rFonts w:asciiTheme="minorHAnsi" w:hAnsiTheme="minorHAnsi"/>
                <w:b/>
              </w:rPr>
            </w:pPr>
            <w:r w:rsidRPr="00C47CD5">
              <w:rPr>
                <w:rFonts w:asciiTheme="minorHAnsi" w:hAnsiTheme="minorHAnsi"/>
                <w:b/>
              </w:rPr>
              <w:t>228.068</w:t>
            </w:r>
          </w:p>
        </w:tc>
        <w:tc>
          <w:tcPr>
            <w:tcW w:w="182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40" w:lineRule="auto"/>
              <w:ind w:right="120"/>
              <w:jc w:val="right"/>
              <w:rPr>
                <w:rFonts w:asciiTheme="minorHAnsi" w:hAnsiTheme="minorHAnsi"/>
                <w:b/>
              </w:rPr>
            </w:pPr>
            <w:r w:rsidRPr="00C47CD5">
              <w:rPr>
                <w:rFonts w:asciiTheme="minorHAnsi" w:hAnsiTheme="minorHAnsi"/>
                <w:b/>
              </w:rPr>
              <w:t>604.238</w:t>
            </w:r>
          </w:p>
        </w:tc>
        <w:tc>
          <w:tcPr>
            <w:tcW w:w="130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40" w:lineRule="auto"/>
              <w:ind w:right="120"/>
              <w:jc w:val="right"/>
              <w:rPr>
                <w:rFonts w:asciiTheme="minorHAnsi" w:hAnsiTheme="minorHAnsi"/>
                <w:b/>
              </w:rPr>
            </w:pPr>
            <w:r w:rsidRPr="00C47CD5">
              <w:rPr>
                <w:rFonts w:asciiTheme="minorHAnsi" w:hAnsiTheme="minorHAnsi"/>
                <w:b/>
              </w:rPr>
              <w:t>264,37</w:t>
            </w:r>
          </w:p>
        </w:tc>
        <w:tc>
          <w:tcPr>
            <w:tcW w:w="0" w:type="dxa"/>
            <w:tcBorders>
              <w:top w:val="nil"/>
              <w:left w:val="nil"/>
              <w:bottom w:val="nil"/>
              <w:right w:val="nil"/>
            </w:tcBorders>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
                <w:szCs w:val="2"/>
              </w:rPr>
            </w:pPr>
          </w:p>
        </w:tc>
      </w:tr>
      <w:tr w:rsidR="00346D17" w:rsidRPr="00481167" w:rsidTr="00C47CD5">
        <w:trPr>
          <w:trHeight w:val="266"/>
        </w:trPr>
        <w:tc>
          <w:tcPr>
            <w:tcW w:w="840" w:type="dxa"/>
            <w:gridSpan w:val="2"/>
            <w:tcBorders>
              <w:top w:val="nil"/>
              <w:left w:val="single" w:sz="8" w:space="0" w:color="auto"/>
              <w:bottom w:val="single" w:sz="8" w:space="0" w:color="auto"/>
              <w:right w:val="nil"/>
            </w:tcBorders>
            <w:vAlign w:val="bottom"/>
          </w:tcPr>
          <w:p w:rsidR="00346D17" w:rsidRPr="00C47CD5" w:rsidRDefault="00C47CD5" w:rsidP="00C47CD5">
            <w:pPr>
              <w:widowControl w:val="0"/>
              <w:autoSpaceDE w:val="0"/>
              <w:autoSpaceDN w:val="0"/>
              <w:adjustRightInd w:val="0"/>
              <w:spacing w:after="0" w:line="240" w:lineRule="auto"/>
              <w:rPr>
                <w:rFonts w:asciiTheme="minorHAnsi" w:hAnsiTheme="minorHAnsi"/>
              </w:rPr>
            </w:pPr>
            <w:r w:rsidRPr="00C47CD5">
              <w:rPr>
                <w:rFonts w:asciiTheme="minorHAnsi" w:hAnsiTheme="minorHAnsi"/>
              </w:rPr>
              <w:t xml:space="preserve">      </w:t>
            </w:r>
            <w:r w:rsidR="00346D17" w:rsidRPr="00C47CD5">
              <w:rPr>
                <w:rFonts w:asciiTheme="minorHAnsi" w:hAnsiTheme="minorHAnsi"/>
              </w:rPr>
              <w:t>10.</w:t>
            </w:r>
          </w:p>
        </w:tc>
        <w:tc>
          <w:tcPr>
            <w:tcW w:w="120" w:type="dxa"/>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3160" w:type="dxa"/>
            <w:gridSpan w:val="2"/>
            <w:tcBorders>
              <w:top w:val="nil"/>
              <w:left w:val="nil"/>
              <w:bottom w:val="single" w:sz="8" w:space="0" w:color="auto"/>
              <w:right w:val="single" w:sz="8" w:space="0" w:color="auto"/>
            </w:tcBorders>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r w:rsidRPr="00C47CD5">
              <w:rPr>
                <w:rFonts w:asciiTheme="minorHAnsi" w:hAnsiTheme="minorHAnsi"/>
              </w:rPr>
              <w:t>Porez na dobit</w:t>
            </w:r>
          </w:p>
        </w:tc>
        <w:tc>
          <w:tcPr>
            <w:tcW w:w="174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102.024</w:t>
            </w:r>
          </w:p>
        </w:tc>
        <w:tc>
          <w:tcPr>
            <w:tcW w:w="182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139.353</w:t>
            </w:r>
          </w:p>
        </w:tc>
        <w:tc>
          <w:tcPr>
            <w:tcW w:w="1300" w:type="dxa"/>
            <w:gridSpan w:val="3"/>
            <w:tcBorders>
              <w:top w:val="nil"/>
              <w:left w:val="nil"/>
              <w:bottom w:val="single" w:sz="8" w:space="0" w:color="auto"/>
              <w:right w:val="single" w:sz="8" w:space="0" w:color="auto"/>
            </w:tcBorders>
            <w:vAlign w:val="bottom"/>
          </w:tcPr>
          <w:p w:rsidR="00346D17" w:rsidRPr="00C47CD5" w:rsidRDefault="00346D17" w:rsidP="00346D17">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136,59</w:t>
            </w:r>
          </w:p>
        </w:tc>
        <w:tc>
          <w:tcPr>
            <w:tcW w:w="0" w:type="dxa"/>
            <w:tcBorders>
              <w:top w:val="nil"/>
              <w:left w:val="nil"/>
              <w:bottom w:val="nil"/>
              <w:right w:val="nil"/>
            </w:tcBorders>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
                <w:szCs w:val="2"/>
              </w:rPr>
            </w:pPr>
          </w:p>
        </w:tc>
      </w:tr>
      <w:tr w:rsidR="00346D17" w:rsidRPr="00481167" w:rsidTr="00933A35">
        <w:trPr>
          <w:trHeight w:val="245"/>
        </w:trPr>
        <w:tc>
          <w:tcPr>
            <w:tcW w:w="100" w:type="dxa"/>
            <w:tcBorders>
              <w:top w:val="single" w:sz="8" w:space="0" w:color="F79646"/>
              <w:left w:val="single" w:sz="8" w:space="0" w:color="auto"/>
              <w:bottom w:val="single" w:sz="8" w:space="0" w:color="auto"/>
              <w:right w:val="nil"/>
            </w:tcBorders>
            <w:shd w:val="clear" w:color="auto" w:fill="F79646"/>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740" w:type="dxa"/>
            <w:tcBorders>
              <w:top w:val="single" w:sz="8" w:space="0" w:color="F79646"/>
              <w:left w:val="nil"/>
              <w:bottom w:val="single" w:sz="8" w:space="0" w:color="auto"/>
              <w:right w:val="nil"/>
            </w:tcBorders>
            <w:shd w:val="clear" w:color="auto" w:fill="F79646"/>
            <w:vAlign w:val="bottom"/>
          </w:tcPr>
          <w:p w:rsidR="00346D17" w:rsidRPr="00C47CD5" w:rsidRDefault="00346D17" w:rsidP="00933A35">
            <w:pPr>
              <w:widowControl w:val="0"/>
              <w:autoSpaceDE w:val="0"/>
              <w:autoSpaceDN w:val="0"/>
              <w:adjustRightInd w:val="0"/>
              <w:spacing w:after="0" w:line="241" w:lineRule="exact"/>
              <w:jc w:val="center"/>
              <w:rPr>
                <w:rFonts w:asciiTheme="minorHAnsi" w:hAnsiTheme="minorHAnsi"/>
              </w:rPr>
            </w:pPr>
            <w:r w:rsidRPr="00C47CD5">
              <w:rPr>
                <w:rFonts w:asciiTheme="minorHAnsi" w:hAnsiTheme="minorHAnsi" w:cs="Calibri"/>
              </w:rPr>
              <w:t>11.</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3040" w:type="dxa"/>
            <w:tcBorders>
              <w:top w:val="single" w:sz="8" w:space="0" w:color="F79646"/>
              <w:left w:val="nil"/>
              <w:bottom w:val="single" w:sz="8" w:space="0" w:color="auto"/>
              <w:right w:val="nil"/>
            </w:tcBorders>
            <w:shd w:val="clear" w:color="auto" w:fill="F79646"/>
            <w:vAlign w:val="bottom"/>
          </w:tcPr>
          <w:p w:rsidR="00346D17" w:rsidRPr="00C47CD5" w:rsidRDefault="00346D17" w:rsidP="00933A35">
            <w:pPr>
              <w:widowControl w:val="0"/>
              <w:autoSpaceDE w:val="0"/>
              <w:autoSpaceDN w:val="0"/>
              <w:adjustRightInd w:val="0"/>
              <w:spacing w:after="0" w:line="241" w:lineRule="exact"/>
              <w:rPr>
                <w:rFonts w:asciiTheme="minorHAnsi" w:hAnsiTheme="minorHAnsi"/>
              </w:rPr>
            </w:pPr>
            <w:r w:rsidRPr="00C47CD5">
              <w:rPr>
                <w:rFonts w:asciiTheme="minorHAnsi" w:hAnsiTheme="minorHAnsi" w:cs="Calibri"/>
                <w:b/>
                <w:bCs/>
              </w:rPr>
              <w:t>Dobit/gubitak razdoblja (9-10)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346D17" w:rsidRPr="00C47CD5" w:rsidRDefault="00346D17" w:rsidP="00933A35">
            <w:pPr>
              <w:widowControl w:val="0"/>
              <w:autoSpaceDE w:val="0"/>
              <w:autoSpaceDN w:val="0"/>
              <w:adjustRightInd w:val="0"/>
              <w:spacing w:after="0" w:line="240" w:lineRule="auto"/>
              <w:rPr>
                <w:rFonts w:asciiTheme="minorHAnsi" w:hAnsiTheme="minorHAnsi"/>
              </w:rPr>
            </w:pPr>
          </w:p>
        </w:tc>
        <w:tc>
          <w:tcPr>
            <w:tcW w:w="80" w:type="dxa"/>
            <w:tcBorders>
              <w:top w:val="single" w:sz="8" w:space="0" w:color="F79646"/>
              <w:left w:val="nil"/>
              <w:bottom w:val="single" w:sz="8" w:space="0" w:color="auto"/>
              <w:right w:val="nil"/>
            </w:tcBorders>
            <w:shd w:val="clear" w:color="auto" w:fill="F79646"/>
            <w:vAlign w:val="bottom"/>
          </w:tcPr>
          <w:p w:rsidR="00346D17" w:rsidRPr="00C47CD5" w:rsidRDefault="00346D17" w:rsidP="00346D17">
            <w:pPr>
              <w:widowControl w:val="0"/>
              <w:autoSpaceDE w:val="0"/>
              <w:autoSpaceDN w:val="0"/>
              <w:adjustRightInd w:val="0"/>
              <w:spacing w:after="0" w:line="240" w:lineRule="auto"/>
              <w:jc w:val="right"/>
              <w:rPr>
                <w:rFonts w:asciiTheme="minorHAnsi" w:hAnsiTheme="minorHAnsi"/>
              </w:rPr>
            </w:pPr>
          </w:p>
        </w:tc>
        <w:tc>
          <w:tcPr>
            <w:tcW w:w="1540" w:type="dxa"/>
            <w:tcBorders>
              <w:top w:val="single" w:sz="8" w:space="0" w:color="F79646"/>
              <w:left w:val="nil"/>
              <w:bottom w:val="single" w:sz="8" w:space="0" w:color="auto"/>
              <w:right w:val="nil"/>
            </w:tcBorders>
            <w:shd w:val="clear" w:color="auto" w:fill="F79646"/>
            <w:vAlign w:val="bottom"/>
          </w:tcPr>
          <w:p w:rsidR="00346D17" w:rsidRPr="00C47CD5" w:rsidRDefault="00346D17" w:rsidP="00346D17">
            <w:pPr>
              <w:widowControl w:val="0"/>
              <w:autoSpaceDE w:val="0"/>
              <w:autoSpaceDN w:val="0"/>
              <w:adjustRightInd w:val="0"/>
              <w:spacing w:after="0" w:line="241" w:lineRule="exact"/>
              <w:jc w:val="right"/>
              <w:rPr>
                <w:rFonts w:asciiTheme="minorHAnsi" w:hAnsiTheme="minorHAnsi"/>
                <w:b/>
              </w:rPr>
            </w:pPr>
            <w:r w:rsidRPr="00C47CD5">
              <w:rPr>
                <w:rFonts w:asciiTheme="minorHAnsi" w:hAnsiTheme="minorHAnsi"/>
                <w:b/>
              </w:rPr>
              <w:t>126.044</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346D17" w:rsidRPr="00C47CD5" w:rsidRDefault="00346D17" w:rsidP="00346D17">
            <w:pPr>
              <w:widowControl w:val="0"/>
              <w:autoSpaceDE w:val="0"/>
              <w:autoSpaceDN w:val="0"/>
              <w:adjustRightInd w:val="0"/>
              <w:spacing w:after="0" w:line="240" w:lineRule="auto"/>
              <w:jc w:val="right"/>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346D17" w:rsidRPr="00C47CD5" w:rsidRDefault="00346D17" w:rsidP="00346D17">
            <w:pPr>
              <w:widowControl w:val="0"/>
              <w:autoSpaceDE w:val="0"/>
              <w:autoSpaceDN w:val="0"/>
              <w:adjustRightInd w:val="0"/>
              <w:spacing w:after="0" w:line="240" w:lineRule="auto"/>
              <w:jc w:val="right"/>
              <w:rPr>
                <w:rFonts w:asciiTheme="minorHAnsi" w:hAnsiTheme="minorHAnsi"/>
              </w:rPr>
            </w:pPr>
          </w:p>
        </w:tc>
        <w:tc>
          <w:tcPr>
            <w:tcW w:w="1600" w:type="dxa"/>
            <w:tcBorders>
              <w:top w:val="single" w:sz="8" w:space="0" w:color="F79646"/>
              <w:left w:val="nil"/>
              <w:bottom w:val="single" w:sz="8" w:space="0" w:color="auto"/>
              <w:right w:val="nil"/>
            </w:tcBorders>
            <w:shd w:val="clear" w:color="auto" w:fill="F79646"/>
            <w:vAlign w:val="bottom"/>
          </w:tcPr>
          <w:p w:rsidR="00346D17" w:rsidRPr="00C47CD5" w:rsidRDefault="00346D17" w:rsidP="00346D17">
            <w:pPr>
              <w:widowControl w:val="0"/>
              <w:autoSpaceDE w:val="0"/>
              <w:autoSpaceDN w:val="0"/>
              <w:adjustRightInd w:val="0"/>
              <w:spacing w:after="0" w:line="241" w:lineRule="exact"/>
              <w:jc w:val="right"/>
              <w:rPr>
                <w:rFonts w:asciiTheme="minorHAnsi" w:hAnsiTheme="minorHAnsi"/>
                <w:b/>
              </w:rPr>
            </w:pPr>
            <w:r w:rsidRPr="00C47CD5">
              <w:rPr>
                <w:rFonts w:asciiTheme="minorHAnsi" w:hAnsiTheme="minorHAnsi"/>
                <w:b/>
              </w:rPr>
              <w:t>464.885</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346D17" w:rsidRPr="00C47CD5" w:rsidRDefault="00346D17" w:rsidP="00346D17">
            <w:pPr>
              <w:widowControl w:val="0"/>
              <w:autoSpaceDE w:val="0"/>
              <w:autoSpaceDN w:val="0"/>
              <w:adjustRightInd w:val="0"/>
              <w:spacing w:after="0" w:line="240" w:lineRule="auto"/>
              <w:jc w:val="right"/>
              <w:rPr>
                <w:rFonts w:asciiTheme="minorHAnsi" w:hAnsiTheme="minorHAnsi"/>
                <w:b/>
              </w:rPr>
            </w:pPr>
          </w:p>
        </w:tc>
        <w:tc>
          <w:tcPr>
            <w:tcW w:w="80" w:type="dxa"/>
            <w:tcBorders>
              <w:top w:val="single" w:sz="8" w:space="0" w:color="F79646"/>
              <w:left w:val="nil"/>
              <w:bottom w:val="single" w:sz="8" w:space="0" w:color="auto"/>
              <w:right w:val="nil"/>
            </w:tcBorders>
            <w:shd w:val="clear" w:color="auto" w:fill="F79646"/>
            <w:vAlign w:val="bottom"/>
          </w:tcPr>
          <w:p w:rsidR="00346D17" w:rsidRPr="00C47CD5" w:rsidRDefault="00346D17" w:rsidP="00346D17">
            <w:pPr>
              <w:widowControl w:val="0"/>
              <w:autoSpaceDE w:val="0"/>
              <w:autoSpaceDN w:val="0"/>
              <w:adjustRightInd w:val="0"/>
              <w:spacing w:after="0" w:line="240" w:lineRule="auto"/>
              <w:jc w:val="right"/>
              <w:rPr>
                <w:rFonts w:asciiTheme="minorHAnsi" w:hAnsiTheme="minorHAnsi"/>
              </w:rPr>
            </w:pPr>
          </w:p>
        </w:tc>
        <w:tc>
          <w:tcPr>
            <w:tcW w:w="1100" w:type="dxa"/>
            <w:tcBorders>
              <w:top w:val="single" w:sz="8" w:space="0" w:color="F79646"/>
              <w:left w:val="nil"/>
              <w:bottom w:val="single" w:sz="8" w:space="0" w:color="auto"/>
              <w:right w:val="nil"/>
            </w:tcBorders>
            <w:shd w:val="clear" w:color="auto" w:fill="F79646"/>
            <w:vAlign w:val="bottom"/>
          </w:tcPr>
          <w:p w:rsidR="00346D17" w:rsidRPr="00C47CD5" w:rsidRDefault="00346D17" w:rsidP="00346D17">
            <w:pPr>
              <w:widowControl w:val="0"/>
              <w:autoSpaceDE w:val="0"/>
              <w:autoSpaceDN w:val="0"/>
              <w:adjustRightInd w:val="0"/>
              <w:spacing w:after="0" w:line="241" w:lineRule="exact"/>
              <w:jc w:val="right"/>
              <w:rPr>
                <w:rFonts w:asciiTheme="minorHAnsi" w:hAnsiTheme="minorHAnsi"/>
                <w:b/>
              </w:rPr>
            </w:pPr>
            <w:r w:rsidRPr="00C47CD5">
              <w:rPr>
                <w:rFonts w:asciiTheme="minorHAnsi" w:hAnsiTheme="minorHAnsi"/>
                <w:b/>
              </w:rPr>
              <w:t>368,83</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346D17" w:rsidRPr="00481167" w:rsidRDefault="00346D17" w:rsidP="00933A35">
            <w:pPr>
              <w:widowControl w:val="0"/>
              <w:autoSpaceDE w:val="0"/>
              <w:autoSpaceDN w:val="0"/>
              <w:adjustRightInd w:val="0"/>
              <w:spacing w:after="0" w:line="240" w:lineRule="auto"/>
              <w:rPr>
                <w:rFonts w:ascii="Times New Roman" w:hAnsi="Times New Roman"/>
                <w:sz w:val="2"/>
                <w:szCs w:val="2"/>
              </w:rPr>
            </w:pPr>
          </w:p>
        </w:tc>
      </w:tr>
    </w:tbl>
    <w:p w:rsidR="00346D17" w:rsidRPr="00346D17" w:rsidRDefault="00346D17" w:rsidP="00346D17">
      <w:pPr>
        <w:widowControl w:val="0"/>
        <w:overflowPunct w:val="0"/>
        <w:autoSpaceDE w:val="0"/>
        <w:autoSpaceDN w:val="0"/>
        <w:adjustRightInd w:val="0"/>
        <w:spacing w:after="0"/>
        <w:jc w:val="both"/>
        <w:rPr>
          <w:rFonts w:ascii="Times New Roman" w:hAnsi="Times New Roman"/>
          <w:sz w:val="24"/>
          <w:szCs w:val="24"/>
        </w:rPr>
      </w:pPr>
    </w:p>
    <w:p w:rsidR="00C47CD5" w:rsidRPr="00C61FEE" w:rsidRDefault="00C47CD5" w:rsidP="00C47CD5">
      <w:pPr>
        <w:widowControl w:val="0"/>
        <w:overflowPunct w:val="0"/>
        <w:autoSpaceDE w:val="0"/>
        <w:autoSpaceDN w:val="0"/>
        <w:adjustRightInd w:val="0"/>
        <w:spacing w:after="0" w:line="240" w:lineRule="auto"/>
        <w:jc w:val="both"/>
        <w:rPr>
          <w:rFonts w:ascii="Times New Roman" w:hAnsi="Times New Roman"/>
          <w:sz w:val="24"/>
          <w:szCs w:val="24"/>
        </w:rPr>
      </w:pPr>
      <w:r w:rsidRPr="00C61FEE">
        <w:rPr>
          <w:rFonts w:ascii="Times New Roman" w:hAnsi="Times New Roman"/>
          <w:sz w:val="24"/>
          <w:szCs w:val="24"/>
        </w:rPr>
        <w:t>Analizirajući tablicu 5. vidljivo je smanjenje poslovnih prihoda za 6,95% u 2015.godini odnosu na prethodnu godinu, ali isto tako, došlo je do smanjenja poslovnih rashoda za 7,58%.</w:t>
      </w:r>
    </w:p>
    <w:p w:rsidR="00C47CD5" w:rsidRPr="00C61FEE" w:rsidRDefault="00C47CD5" w:rsidP="00C47CD5">
      <w:pPr>
        <w:widowControl w:val="0"/>
        <w:overflowPunct w:val="0"/>
        <w:autoSpaceDE w:val="0"/>
        <w:autoSpaceDN w:val="0"/>
        <w:adjustRightInd w:val="0"/>
        <w:spacing w:after="0" w:line="240" w:lineRule="auto"/>
        <w:jc w:val="both"/>
        <w:rPr>
          <w:rFonts w:ascii="Times New Roman" w:hAnsi="Times New Roman"/>
          <w:sz w:val="24"/>
          <w:szCs w:val="24"/>
        </w:rPr>
      </w:pPr>
      <w:r w:rsidRPr="00C61FEE">
        <w:rPr>
          <w:rFonts w:ascii="Times New Roman" w:hAnsi="Times New Roman"/>
          <w:sz w:val="24"/>
          <w:szCs w:val="24"/>
        </w:rPr>
        <w:t>Iz poslovnih aktivnosti ostvarena je dobit od 1.092 tis. kuna dok je iz financijskih aktivnosti ostvaren gubitak od 488 tis. kuna.</w:t>
      </w:r>
    </w:p>
    <w:p w:rsidR="00C47CD5" w:rsidRPr="00C61FEE" w:rsidRDefault="00C47CD5" w:rsidP="00C47CD5">
      <w:pPr>
        <w:widowControl w:val="0"/>
        <w:autoSpaceDE w:val="0"/>
        <w:autoSpaceDN w:val="0"/>
        <w:adjustRightInd w:val="0"/>
        <w:spacing w:after="0" w:line="240" w:lineRule="auto"/>
        <w:jc w:val="both"/>
        <w:rPr>
          <w:rFonts w:ascii="Times New Roman" w:hAnsi="Times New Roman"/>
          <w:sz w:val="24"/>
          <w:szCs w:val="24"/>
        </w:rPr>
      </w:pPr>
    </w:p>
    <w:p w:rsidR="00C47CD5" w:rsidRPr="00C61FEE" w:rsidRDefault="00C47CD5" w:rsidP="00C47CD5">
      <w:pPr>
        <w:widowControl w:val="0"/>
        <w:overflowPunct w:val="0"/>
        <w:autoSpaceDE w:val="0"/>
        <w:autoSpaceDN w:val="0"/>
        <w:adjustRightInd w:val="0"/>
        <w:spacing w:after="0" w:line="240" w:lineRule="auto"/>
        <w:jc w:val="both"/>
        <w:rPr>
          <w:rFonts w:ascii="Times New Roman" w:hAnsi="Times New Roman"/>
          <w:sz w:val="24"/>
          <w:szCs w:val="24"/>
        </w:rPr>
      </w:pPr>
      <w:r w:rsidRPr="00C61FEE">
        <w:rPr>
          <w:rFonts w:ascii="Times New Roman" w:hAnsi="Times New Roman"/>
          <w:sz w:val="24"/>
          <w:szCs w:val="24"/>
        </w:rPr>
        <w:t xml:space="preserve">Što se tiče financijskih prihoda, a to su prihodi od kamata, oni su za </w:t>
      </w:r>
      <w:r>
        <w:rPr>
          <w:rFonts w:ascii="Times New Roman" w:hAnsi="Times New Roman"/>
          <w:sz w:val="24"/>
          <w:szCs w:val="24"/>
        </w:rPr>
        <w:t>174%</w:t>
      </w:r>
      <w:r w:rsidRPr="00C61FEE">
        <w:rPr>
          <w:rFonts w:ascii="Times New Roman" w:hAnsi="Times New Roman"/>
          <w:sz w:val="24"/>
          <w:szCs w:val="24"/>
        </w:rPr>
        <w:t xml:space="preserve"> </w:t>
      </w:r>
      <w:r>
        <w:rPr>
          <w:rFonts w:ascii="Times New Roman" w:hAnsi="Times New Roman"/>
          <w:sz w:val="24"/>
          <w:szCs w:val="24"/>
        </w:rPr>
        <w:t>veći</w:t>
      </w:r>
      <w:r w:rsidRPr="00C61FEE">
        <w:rPr>
          <w:rFonts w:ascii="Times New Roman" w:hAnsi="Times New Roman"/>
          <w:sz w:val="24"/>
          <w:szCs w:val="24"/>
        </w:rPr>
        <w:t xml:space="preserve"> usporedno sa prethodnom godinom, dok su rashodi zabilježili </w:t>
      </w:r>
      <w:r>
        <w:rPr>
          <w:rFonts w:ascii="Times New Roman" w:hAnsi="Times New Roman"/>
          <w:sz w:val="24"/>
          <w:szCs w:val="24"/>
        </w:rPr>
        <w:t>pad</w:t>
      </w:r>
      <w:r w:rsidRPr="00C61FEE">
        <w:rPr>
          <w:rFonts w:ascii="Times New Roman" w:hAnsi="Times New Roman"/>
          <w:sz w:val="24"/>
          <w:szCs w:val="24"/>
        </w:rPr>
        <w:t xml:space="preserve"> od </w:t>
      </w:r>
      <w:r>
        <w:rPr>
          <w:rFonts w:ascii="Times New Roman" w:hAnsi="Times New Roman"/>
          <w:sz w:val="24"/>
          <w:szCs w:val="24"/>
        </w:rPr>
        <w:t>11</w:t>
      </w:r>
      <w:r w:rsidRPr="00C61FEE">
        <w:rPr>
          <w:rFonts w:ascii="Times New Roman" w:hAnsi="Times New Roman"/>
          <w:sz w:val="24"/>
          <w:szCs w:val="24"/>
        </w:rPr>
        <w:t>%, a odnose se redovne kamate i t</w:t>
      </w:r>
      <w:r>
        <w:rPr>
          <w:rFonts w:ascii="Times New Roman" w:hAnsi="Times New Roman"/>
          <w:sz w:val="24"/>
          <w:szCs w:val="24"/>
        </w:rPr>
        <w:t>ečajne razlike koje Društvo plać</w:t>
      </w:r>
      <w:r w:rsidRPr="00C61FEE">
        <w:rPr>
          <w:rFonts w:ascii="Times New Roman" w:hAnsi="Times New Roman"/>
          <w:sz w:val="24"/>
          <w:szCs w:val="24"/>
        </w:rPr>
        <w:t>a sukladno ugovorima o financijskom leasingu odobrenim za kupnju opreme te zatezne kamate obračunate od strane doba</w:t>
      </w:r>
      <w:r>
        <w:rPr>
          <w:rFonts w:ascii="Times New Roman" w:hAnsi="Times New Roman"/>
          <w:sz w:val="24"/>
          <w:szCs w:val="24"/>
        </w:rPr>
        <w:t>vljača zbog nepravovremenog plać</w:t>
      </w:r>
      <w:r w:rsidRPr="00C61FEE">
        <w:rPr>
          <w:rFonts w:ascii="Times New Roman" w:hAnsi="Times New Roman"/>
          <w:sz w:val="24"/>
          <w:szCs w:val="24"/>
        </w:rPr>
        <w:t>anja dospjelih obveza.</w:t>
      </w:r>
    </w:p>
    <w:p w:rsidR="00C47CD5" w:rsidRDefault="00C47CD5" w:rsidP="00C47CD5">
      <w:pPr>
        <w:widowControl w:val="0"/>
        <w:overflowPunct w:val="0"/>
        <w:autoSpaceDE w:val="0"/>
        <w:autoSpaceDN w:val="0"/>
        <w:adjustRightInd w:val="0"/>
        <w:spacing w:after="0" w:line="240" w:lineRule="auto"/>
        <w:jc w:val="both"/>
        <w:rPr>
          <w:rFonts w:ascii="Times New Roman" w:hAnsi="Times New Roman"/>
          <w:sz w:val="24"/>
          <w:szCs w:val="24"/>
        </w:rPr>
      </w:pPr>
    </w:p>
    <w:p w:rsidR="00C47CD5" w:rsidRPr="00C61FEE" w:rsidRDefault="00C47CD5" w:rsidP="00C47CD5">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Zaključno, Društvo je u 2015</w:t>
      </w:r>
      <w:r w:rsidRPr="00C61FEE">
        <w:rPr>
          <w:rFonts w:ascii="Times New Roman" w:hAnsi="Times New Roman"/>
          <w:sz w:val="24"/>
          <w:szCs w:val="24"/>
        </w:rPr>
        <w:t xml:space="preserve">.godini ostvarilo dobit nakon oporezivanja u iznosu od </w:t>
      </w:r>
      <w:r>
        <w:rPr>
          <w:rFonts w:ascii="Times New Roman" w:hAnsi="Times New Roman"/>
          <w:sz w:val="24"/>
          <w:szCs w:val="24"/>
        </w:rPr>
        <w:t>464</w:t>
      </w:r>
      <w:r w:rsidRPr="00C61FEE">
        <w:rPr>
          <w:rFonts w:ascii="Times New Roman" w:hAnsi="Times New Roman"/>
          <w:sz w:val="24"/>
          <w:szCs w:val="24"/>
        </w:rPr>
        <w:t xml:space="preserve"> tis. kuna što je </w:t>
      </w:r>
      <w:r w:rsidR="002D2F1C">
        <w:rPr>
          <w:rFonts w:ascii="Times New Roman" w:hAnsi="Times New Roman"/>
          <w:sz w:val="24"/>
          <w:szCs w:val="24"/>
        </w:rPr>
        <w:t>značajan pomak u odnosu na prethodnu godinu</w:t>
      </w:r>
      <w:r w:rsidRPr="00C61FEE">
        <w:rPr>
          <w:rFonts w:ascii="Times New Roman" w:hAnsi="Times New Roman"/>
          <w:sz w:val="24"/>
          <w:szCs w:val="24"/>
        </w:rPr>
        <w:t>.</w:t>
      </w:r>
    </w:p>
    <w:p w:rsidR="00C47CD5" w:rsidRDefault="00C47CD5" w:rsidP="00C47CD5">
      <w:pPr>
        <w:widowControl w:val="0"/>
        <w:autoSpaceDE w:val="0"/>
        <w:autoSpaceDN w:val="0"/>
        <w:adjustRightInd w:val="0"/>
        <w:spacing w:after="0" w:line="240" w:lineRule="auto"/>
        <w:jc w:val="both"/>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C47CD5" w:rsidRDefault="00C47CD5" w:rsidP="00C47CD5">
      <w:pPr>
        <w:widowControl w:val="0"/>
        <w:autoSpaceDE w:val="0"/>
        <w:autoSpaceDN w:val="0"/>
        <w:adjustRightInd w:val="0"/>
        <w:spacing w:after="0" w:line="200" w:lineRule="exact"/>
        <w:rPr>
          <w:noProof/>
        </w:rPr>
      </w:pPr>
    </w:p>
    <w:p w:rsidR="007A0CDB" w:rsidRDefault="007A0CDB" w:rsidP="00C47CD5">
      <w:pPr>
        <w:widowControl w:val="0"/>
        <w:autoSpaceDE w:val="0"/>
        <w:autoSpaceDN w:val="0"/>
        <w:adjustRightInd w:val="0"/>
        <w:spacing w:after="0" w:line="240" w:lineRule="auto"/>
        <w:ind w:left="40"/>
        <w:rPr>
          <w:rFonts w:ascii="Times New Roman" w:hAnsi="Times New Roman"/>
          <w:sz w:val="24"/>
          <w:szCs w:val="24"/>
        </w:rPr>
      </w:pPr>
    </w:p>
    <w:p w:rsidR="00C47CD5" w:rsidRDefault="00C47CD5" w:rsidP="00C47CD5">
      <w:pPr>
        <w:widowControl w:val="0"/>
        <w:autoSpaceDE w:val="0"/>
        <w:autoSpaceDN w:val="0"/>
        <w:adjustRightInd w:val="0"/>
        <w:spacing w:after="0" w:line="240" w:lineRule="auto"/>
        <w:ind w:left="40"/>
        <w:rPr>
          <w:rFonts w:ascii="Times New Roman" w:hAnsi="Times New Roman"/>
          <w:sz w:val="24"/>
          <w:szCs w:val="24"/>
        </w:rPr>
      </w:pPr>
      <w:r>
        <w:rPr>
          <w:rFonts w:cs="Calibri"/>
          <w:b/>
          <w:bCs/>
          <w:sz w:val="32"/>
          <w:szCs w:val="32"/>
        </w:rPr>
        <w:lastRenderedPageBreak/>
        <w:t>2.1. Poslovni prihodi</w:t>
      </w:r>
    </w:p>
    <w:p w:rsidR="00C47CD5" w:rsidRDefault="00C47CD5" w:rsidP="00C47CD5">
      <w:pPr>
        <w:widowControl w:val="0"/>
        <w:autoSpaceDE w:val="0"/>
        <w:autoSpaceDN w:val="0"/>
        <w:adjustRightInd w:val="0"/>
        <w:spacing w:after="0" w:line="200" w:lineRule="exact"/>
        <w:rPr>
          <w:rFonts w:ascii="Times New Roman" w:hAnsi="Times New Roman"/>
          <w:sz w:val="24"/>
          <w:szCs w:val="24"/>
        </w:rPr>
      </w:pPr>
    </w:p>
    <w:p w:rsidR="00C47CD5" w:rsidRDefault="00C47CD5" w:rsidP="00C47CD5">
      <w:pPr>
        <w:widowControl w:val="0"/>
        <w:autoSpaceDE w:val="0"/>
        <w:autoSpaceDN w:val="0"/>
        <w:adjustRightInd w:val="0"/>
        <w:spacing w:after="0" w:line="216" w:lineRule="exact"/>
        <w:rPr>
          <w:rFonts w:ascii="Times New Roman" w:hAnsi="Times New Roman"/>
          <w:sz w:val="24"/>
          <w:szCs w:val="24"/>
        </w:rPr>
      </w:pPr>
    </w:p>
    <w:p w:rsidR="00C47CD5" w:rsidRDefault="00C47CD5" w:rsidP="00C47CD5">
      <w:pPr>
        <w:widowControl w:val="0"/>
        <w:overflowPunct w:val="0"/>
        <w:autoSpaceDE w:val="0"/>
        <w:autoSpaceDN w:val="0"/>
        <w:adjustRightInd w:val="0"/>
        <w:spacing w:after="0" w:line="240" w:lineRule="auto"/>
        <w:ind w:left="40" w:right="160"/>
        <w:jc w:val="both"/>
        <w:rPr>
          <w:rFonts w:ascii="Times New Roman" w:hAnsi="Times New Roman"/>
          <w:sz w:val="24"/>
          <w:szCs w:val="24"/>
        </w:rPr>
      </w:pPr>
      <w:r w:rsidRPr="00C47CD5">
        <w:rPr>
          <w:rFonts w:ascii="Times New Roman" w:hAnsi="Times New Roman"/>
          <w:sz w:val="24"/>
          <w:szCs w:val="24"/>
        </w:rPr>
        <w:t>Poslovni prihodi iznose 51,9 milijuna kuna, što je smanjenje od 3,8 milijuna kuna ili 6,95 % u odnosu na iskazane iz prethodne godine, a strukturno su prikazani u nastavku</w:t>
      </w:r>
      <w:r>
        <w:rPr>
          <w:rFonts w:cs="Calibri"/>
        </w:rPr>
        <w:t>.</w:t>
      </w:r>
    </w:p>
    <w:p w:rsidR="00C47CD5" w:rsidRDefault="00C47CD5" w:rsidP="00C47CD5">
      <w:pPr>
        <w:widowControl w:val="0"/>
        <w:autoSpaceDE w:val="0"/>
        <w:autoSpaceDN w:val="0"/>
        <w:adjustRightInd w:val="0"/>
        <w:spacing w:after="0" w:line="200" w:lineRule="exact"/>
        <w:rPr>
          <w:rFonts w:ascii="Times New Roman" w:hAnsi="Times New Roman"/>
          <w:sz w:val="24"/>
          <w:szCs w:val="24"/>
        </w:rPr>
      </w:pPr>
    </w:p>
    <w:p w:rsidR="00C47CD5" w:rsidRDefault="00C47CD5" w:rsidP="00C47CD5">
      <w:pPr>
        <w:widowControl w:val="0"/>
        <w:autoSpaceDE w:val="0"/>
        <w:autoSpaceDN w:val="0"/>
        <w:adjustRightInd w:val="0"/>
        <w:spacing w:after="0" w:line="240" w:lineRule="auto"/>
        <w:rPr>
          <w:rFonts w:ascii="Times New Roman" w:hAnsi="Times New Roman"/>
          <w:sz w:val="24"/>
          <w:szCs w:val="24"/>
        </w:rPr>
      </w:pPr>
    </w:p>
    <w:p w:rsidR="00C47CD5" w:rsidRPr="007A0CDB" w:rsidRDefault="00C47CD5" w:rsidP="00C47CD5">
      <w:pPr>
        <w:widowControl w:val="0"/>
        <w:autoSpaceDE w:val="0"/>
        <w:autoSpaceDN w:val="0"/>
        <w:adjustRightInd w:val="0"/>
        <w:spacing w:after="0" w:line="240" w:lineRule="auto"/>
        <w:rPr>
          <w:rFonts w:ascii="Times New Roman" w:hAnsi="Times New Roman"/>
          <w:b/>
          <w:i/>
          <w:sz w:val="24"/>
          <w:szCs w:val="24"/>
        </w:rPr>
      </w:pPr>
      <w:r w:rsidRPr="007A0CDB">
        <w:rPr>
          <w:rFonts w:cs="Calibri"/>
          <w:b/>
          <w:i/>
          <w:sz w:val="32"/>
          <w:szCs w:val="32"/>
        </w:rPr>
        <w:t>Prihodi od prodaje usluga</w:t>
      </w:r>
    </w:p>
    <w:p w:rsidR="00C47CD5" w:rsidRDefault="00C47CD5" w:rsidP="00C47CD5">
      <w:pPr>
        <w:widowControl w:val="0"/>
        <w:autoSpaceDE w:val="0"/>
        <w:autoSpaceDN w:val="0"/>
        <w:adjustRightInd w:val="0"/>
        <w:spacing w:after="0" w:line="376" w:lineRule="exact"/>
        <w:rPr>
          <w:rFonts w:ascii="Times New Roman" w:hAnsi="Times New Roman"/>
          <w:sz w:val="24"/>
          <w:szCs w:val="24"/>
        </w:rPr>
      </w:pPr>
    </w:p>
    <w:p w:rsidR="00C47CD5" w:rsidRPr="00C47CD5" w:rsidRDefault="00C47CD5" w:rsidP="00C47CD5">
      <w:pPr>
        <w:widowControl w:val="0"/>
        <w:overflowPunct w:val="0"/>
        <w:autoSpaceDE w:val="0"/>
        <w:autoSpaceDN w:val="0"/>
        <w:adjustRightInd w:val="0"/>
        <w:spacing w:after="0" w:line="240" w:lineRule="auto"/>
        <w:ind w:left="40" w:right="160"/>
        <w:jc w:val="both"/>
        <w:rPr>
          <w:rFonts w:ascii="Times New Roman" w:hAnsi="Times New Roman"/>
          <w:sz w:val="24"/>
          <w:szCs w:val="24"/>
        </w:rPr>
      </w:pPr>
      <w:r w:rsidRPr="00C47CD5">
        <w:rPr>
          <w:rFonts w:ascii="Times New Roman" w:hAnsi="Times New Roman"/>
          <w:sz w:val="24"/>
          <w:szCs w:val="24"/>
        </w:rPr>
        <w:t>Struktura prihoda od prodaje koji ukupno iznose 51,8 mil. kuna (55,6 mil. kuna u prethodnoj godini), prikazana je u tablici br. 6.</w:t>
      </w:r>
    </w:p>
    <w:p w:rsidR="00C47CD5" w:rsidRDefault="00C47CD5" w:rsidP="00C47CD5">
      <w:pPr>
        <w:widowControl w:val="0"/>
        <w:autoSpaceDE w:val="0"/>
        <w:autoSpaceDN w:val="0"/>
        <w:adjustRightInd w:val="0"/>
        <w:spacing w:after="0" w:line="270" w:lineRule="exact"/>
        <w:rPr>
          <w:rFonts w:ascii="Times New Roman" w:hAnsi="Times New Roman"/>
          <w:sz w:val="24"/>
          <w:szCs w:val="24"/>
        </w:rPr>
      </w:pPr>
    </w:p>
    <w:p w:rsidR="00C47CD5" w:rsidRDefault="00C47CD5" w:rsidP="00C47CD5">
      <w:pPr>
        <w:widowControl w:val="0"/>
        <w:autoSpaceDE w:val="0"/>
        <w:autoSpaceDN w:val="0"/>
        <w:adjustRightInd w:val="0"/>
        <w:spacing w:after="0" w:line="239" w:lineRule="auto"/>
        <w:ind w:left="40"/>
        <w:rPr>
          <w:rFonts w:cs="Calibri"/>
          <w:b/>
          <w:bCs/>
        </w:rPr>
      </w:pPr>
      <w:r>
        <w:rPr>
          <w:rFonts w:cs="Calibri"/>
          <w:b/>
          <w:bCs/>
        </w:rPr>
        <w:t>Tablica 6. Prihodi od prodaje usluga po ključnim kupcima u razdoblju 2014.-2015. god.</w:t>
      </w:r>
    </w:p>
    <w:tbl>
      <w:tblPr>
        <w:tblW w:w="9330" w:type="dxa"/>
        <w:tblInd w:w="10" w:type="dxa"/>
        <w:tblLayout w:type="fixed"/>
        <w:tblCellMar>
          <w:left w:w="0" w:type="dxa"/>
          <w:right w:w="0" w:type="dxa"/>
        </w:tblCellMar>
        <w:tblLook w:val="0000" w:firstRow="0" w:lastRow="0" w:firstColumn="0" w:lastColumn="0" w:noHBand="0" w:noVBand="0"/>
      </w:tblPr>
      <w:tblGrid>
        <w:gridCol w:w="119"/>
        <w:gridCol w:w="798"/>
        <w:gridCol w:w="120"/>
        <w:gridCol w:w="100"/>
        <w:gridCol w:w="2078"/>
        <w:gridCol w:w="140"/>
        <w:gridCol w:w="80"/>
        <w:gridCol w:w="1199"/>
        <w:gridCol w:w="120"/>
        <w:gridCol w:w="100"/>
        <w:gridCol w:w="679"/>
        <w:gridCol w:w="120"/>
        <w:gridCol w:w="100"/>
        <w:gridCol w:w="1099"/>
        <w:gridCol w:w="120"/>
        <w:gridCol w:w="100"/>
        <w:gridCol w:w="759"/>
        <w:gridCol w:w="20"/>
        <w:gridCol w:w="30"/>
        <w:gridCol w:w="180"/>
        <w:gridCol w:w="1119"/>
        <w:gridCol w:w="120"/>
        <w:gridCol w:w="30"/>
      </w:tblGrid>
      <w:tr w:rsidR="00C47CD5" w:rsidRPr="00481167" w:rsidTr="00933A35">
        <w:trPr>
          <w:trHeight w:val="214"/>
        </w:trPr>
        <w:tc>
          <w:tcPr>
            <w:tcW w:w="120" w:type="dxa"/>
            <w:tcBorders>
              <w:top w:val="single" w:sz="8" w:space="0" w:color="auto"/>
              <w:left w:val="single" w:sz="8" w:space="0" w:color="auto"/>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8"/>
                <w:szCs w:val="18"/>
              </w:rPr>
            </w:pPr>
          </w:p>
        </w:tc>
        <w:tc>
          <w:tcPr>
            <w:tcW w:w="80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8"/>
                <w:szCs w:val="18"/>
              </w:rPr>
            </w:pPr>
          </w:p>
        </w:tc>
        <w:tc>
          <w:tcPr>
            <w:tcW w:w="10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8"/>
                <w:szCs w:val="18"/>
              </w:rPr>
            </w:pPr>
          </w:p>
        </w:tc>
        <w:tc>
          <w:tcPr>
            <w:tcW w:w="208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7" w:lineRule="exact"/>
              <w:ind w:left="800"/>
              <w:rPr>
                <w:rFonts w:ascii="Times New Roman" w:hAnsi="Times New Roman"/>
                <w:sz w:val="24"/>
                <w:szCs w:val="24"/>
              </w:rPr>
            </w:pPr>
            <w:r w:rsidRPr="00481167">
              <w:rPr>
                <w:rFonts w:cs="Calibri"/>
                <w:b/>
                <w:bCs/>
                <w:color w:val="FFFFFF"/>
              </w:rPr>
              <w:t>Naziv</w:t>
            </w:r>
          </w:p>
        </w:tc>
        <w:tc>
          <w:tcPr>
            <w:tcW w:w="14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8"/>
                <w:szCs w:val="18"/>
              </w:rPr>
            </w:pPr>
          </w:p>
        </w:tc>
        <w:tc>
          <w:tcPr>
            <w:tcW w:w="8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8"/>
                <w:szCs w:val="18"/>
              </w:rPr>
            </w:pPr>
          </w:p>
        </w:tc>
        <w:tc>
          <w:tcPr>
            <w:tcW w:w="1320" w:type="dxa"/>
            <w:gridSpan w:val="2"/>
            <w:vMerge w:val="restart"/>
            <w:tcBorders>
              <w:top w:val="single" w:sz="8" w:space="0" w:color="auto"/>
              <w:left w:val="nil"/>
              <w:bottom w:val="nil"/>
              <w:right w:val="single" w:sz="8" w:space="0" w:color="7F7F7F"/>
            </w:tcBorders>
            <w:shd w:val="clear" w:color="auto" w:fill="7F7F7F"/>
            <w:vAlign w:val="bottom"/>
          </w:tcPr>
          <w:p w:rsidR="00C47CD5" w:rsidRPr="00481167" w:rsidRDefault="00C47CD5" w:rsidP="00933A35">
            <w:pPr>
              <w:widowControl w:val="0"/>
              <w:autoSpaceDE w:val="0"/>
              <w:autoSpaceDN w:val="0"/>
              <w:adjustRightInd w:val="0"/>
              <w:spacing w:after="0" w:line="267" w:lineRule="exact"/>
              <w:ind w:right="20"/>
              <w:jc w:val="right"/>
              <w:rPr>
                <w:rFonts w:ascii="Times New Roman" w:hAnsi="Times New Roman"/>
                <w:sz w:val="24"/>
                <w:szCs w:val="24"/>
              </w:rPr>
            </w:pPr>
            <w:r w:rsidRPr="00481167">
              <w:rPr>
                <w:rFonts w:cs="Calibri"/>
                <w:b/>
                <w:bCs/>
                <w:color w:val="FFFFFF"/>
              </w:rPr>
              <w:t>2014.</w:t>
            </w:r>
          </w:p>
        </w:tc>
        <w:tc>
          <w:tcPr>
            <w:tcW w:w="10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8"/>
                <w:szCs w:val="18"/>
              </w:rPr>
            </w:pPr>
          </w:p>
        </w:tc>
        <w:tc>
          <w:tcPr>
            <w:tcW w:w="68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8"/>
                <w:szCs w:val="18"/>
              </w:rPr>
            </w:pP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8"/>
                <w:szCs w:val="18"/>
              </w:rPr>
            </w:pPr>
          </w:p>
        </w:tc>
        <w:tc>
          <w:tcPr>
            <w:tcW w:w="10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8"/>
                <w:szCs w:val="18"/>
              </w:rPr>
            </w:pPr>
          </w:p>
        </w:tc>
        <w:tc>
          <w:tcPr>
            <w:tcW w:w="1320" w:type="dxa"/>
            <w:gridSpan w:val="3"/>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7" w:lineRule="exact"/>
              <w:ind w:right="20"/>
              <w:jc w:val="right"/>
              <w:rPr>
                <w:rFonts w:ascii="Times New Roman" w:hAnsi="Times New Roman"/>
                <w:sz w:val="24"/>
                <w:szCs w:val="24"/>
              </w:rPr>
            </w:pPr>
            <w:r w:rsidRPr="00481167">
              <w:rPr>
                <w:rFonts w:cs="Calibri"/>
                <w:b/>
                <w:bCs/>
                <w:color w:val="FFFFFF"/>
              </w:rPr>
              <w:t>2015.</w:t>
            </w:r>
          </w:p>
        </w:tc>
        <w:tc>
          <w:tcPr>
            <w:tcW w:w="76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8"/>
                <w:szCs w:val="18"/>
              </w:rPr>
            </w:pPr>
          </w:p>
        </w:tc>
        <w:tc>
          <w:tcPr>
            <w:tcW w:w="20" w:type="dxa"/>
            <w:tcBorders>
              <w:top w:val="single" w:sz="8" w:space="0" w:color="auto"/>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8"/>
                <w:szCs w:val="18"/>
              </w:rPr>
            </w:pPr>
          </w:p>
        </w:tc>
        <w:tc>
          <w:tcPr>
            <w:tcW w:w="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8"/>
                <w:szCs w:val="18"/>
              </w:rPr>
            </w:pPr>
          </w:p>
        </w:tc>
        <w:tc>
          <w:tcPr>
            <w:tcW w:w="18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8"/>
                <w:szCs w:val="18"/>
              </w:rPr>
            </w:pPr>
          </w:p>
        </w:tc>
        <w:tc>
          <w:tcPr>
            <w:tcW w:w="112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7" w:lineRule="exact"/>
              <w:ind w:right="190"/>
              <w:jc w:val="right"/>
              <w:rPr>
                <w:rFonts w:ascii="Times New Roman" w:hAnsi="Times New Roman"/>
                <w:sz w:val="24"/>
                <w:szCs w:val="24"/>
              </w:rPr>
            </w:pPr>
            <w:r w:rsidRPr="00481167">
              <w:rPr>
                <w:rFonts w:cs="Calibri"/>
                <w:b/>
                <w:bCs/>
                <w:color w:val="FFFFFF"/>
              </w:rPr>
              <w:t>Index</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158"/>
        </w:trPr>
        <w:tc>
          <w:tcPr>
            <w:tcW w:w="120" w:type="dxa"/>
            <w:tcBorders>
              <w:top w:val="nil"/>
              <w:left w:val="single" w:sz="8" w:space="0" w:color="auto"/>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800" w:type="dxa"/>
            <w:vMerge/>
            <w:tcBorders>
              <w:top w:val="nil"/>
              <w:left w:val="nil"/>
              <w:bottom w:val="single" w:sz="8" w:space="0" w:color="auto"/>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2080" w:type="dxa"/>
            <w:vMerge/>
            <w:tcBorders>
              <w:top w:val="nil"/>
              <w:left w:val="nil"/>
              <w:bottom w:val="single" w:sz="8" w:space="0" w:color="auto"/>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4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80" w:type="dxa"/>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320" w:type="dxa"/>
            <w:gridSpan w:val="2"/>
            <w:vMerge/>
            <w:tcBorders>
              <w:top w:val="nil"/>
              <w:left w:val="nil"/>
              <w:bottom w:val="single" w:sz="8" w:space="0" w:color="7F7F7F"/>
              <w:right w:val="single" w:sz="8" w:space="0" w:color="7F7F7F"/>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68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00" w:type="dxa"/>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320" w:type="dxa"/>
            <w:gridSpan w:val="3"/>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76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20" w:type="dxa"/>
            <w:tcBorders>
              <w:top w:val="nil"/>
              <w:left w:val="nil"/>
              <w:bottom w:val="single" w:sz="8" w:space="0" w:color="7F7F7F"/>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8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120" w:type="dxa"/>
            <w:vMerge/>
            <w:tcBorders>
              <w:top w:val="nil"/>
              <w:left w:val="nil"/>
              <w:bottom w:val="single" w:sz="8" w:space="0" w:color="auto"/>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91"/>
        </w:trPr>
        <w:tc>
          <w:tcPr>
            <w:tcW w:w="120" w:type="dxa"/>
            <w:tcBorders>
              <w:top w:val="single" w:sz="8" w:space="0" w:color="7F7F7F"/>
              <w:left w:val="single" w:sz="8" w:space="0" w:color="auto"/>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800" w:type="dxa"/>
            <w:vMerge/>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20" w:type="dxa"/>
            <w:tcBorders>
              <w:top w:val="single" w:sz="8" w:space="0" w:color="7F7F7F"/>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7F7F7F"/>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2080" w:type="dxa"/>
            <w:vMerge/>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40" w:type="dxa"/>
            <w:tcBorders>
              <w:top w:val="single" w:sz="8" w:space="0" w:color="7F7F7F"/>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8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20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0" w:lineRule="exact"/>
              <w:ind w:right="250"/>
              <w:jc w:val="right"/>
              <w:rPr>
                <w:rFonts w:ascii="Times New Roman" w:hAnsi="Times New Roman"/>
                <w:sz w:val="24"/>
                <w:szCs w:val="24"/>
              </w:rPr>
            </w:pPr>
            <w:r w:rsidRPr="00481167">
              <w:rPr>
                <w:rFonts w:cs="Calibri"/>
                <w:b/>
                <w:bCs/>
                <w:color w:val="FFFFFF"/>
              </w:rPr>
              <w:t>Iznos</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68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0" w:lineRule="exact"/>
              <w:ind w:right="150"/>
              <w:jc w:val="right"/>
              <w:rPr>
                <w:rFonts w:ascii="Times New Roman" w:hAnsi="Times New Roman"/>
                <w:sz w:val="24"/>
                <w:szCs w:val="24"/>
              </w:rPr>
            </w:pPr>
            <w:r w:rsidRPr="00481167">
              <w:rPr>
                <w:rFonts w:cs="Calibri"/>
                <w:b/>
                <w:bCs/>
                <w:color w:val="FFFFFF"/>
              </w:rPr>
              <w:t>%</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10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0" w:lineRule="exact"/>
              <w:ind w:right="210"/>
              <w:jc w:val="right"/>
              <w:rPr>
                <w:rFonts w:ascii="Times New Roman" w:hAnsi="Times New Roman"/>
                <w:sz w:val="24"/>
                <w:szCs w:val="24"/>
              </w:rPr>
            </w:pPr>
            <w:r w:rsidRPr="00481167">
              <w:rPr>
                <w:rFonts w:cs="Calibri"/>
                <w:b/>
                <w:bCs/>
                <w:color w:val="FFFFFF"/>
              </w:rPr>
              <w:t>Iznos</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76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0" w:lineRule="exact"/>
              <w:ind w:right="190"/>
              <w:jc w:val="right"/>
              <w:rPr>
                <w:rFonts w:ascii="Times New Roman" w:hAnsi="Times New Roman"/>
                <w:sz w:val="24"/>
                <w:szCs w:val="24"/>
              </w:rPr>
            </w:pPr>
            <w:r w:rsidRPr="00481167">
              <w:rPr>
                <w:rFonts w:cs="Calibri"/>
                <w:b/>
                <w:bCs/>
                <w:color w:val="FFFFFF"/>
              </w:rPr>
              <w:t>%</w:t>
            </w:r>
          </w:p>
        </w:tc>
        <w:tc>
          <w:tcPr>
            <w:tcW w:w="20" w:type="dxa"/>
            <w:tcBorders>
              <w:top w:val="single" w:sz="8" w:space="0" w:color="auto"/>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80" w:type="dxa"/>
            <w:tcBorders>
              <w:top w:val="single" w:sz="8" w:space="0" w:color="7F7F7F"/>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120" w:type="dxa"/>
            <w:vMerge/>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20" w:type="dxa"/>
            <w:tcBorders>
              <w:top w:val="single" w:sz="8" w:space="0" w:color="7F7F7F"/>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251"/>
        </w:trPr>
        <w:tc>
          <w:tcPr>
            <w:tcW w:w="120" w:type="dxa"/>
            <w:tcBorders>
              <w:top w:val="nil"/>
              <w:left w:val="single" w:sz="8" w:space="0" w:color="auto"/>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8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1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208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14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8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1200" w:type="dxa"/>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1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680" w:type="dxa"/>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1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1100" w:type="dxa"/>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1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760" w:type="dxa"/>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20" w:type="dxa"/>
            <w:tcBorders>
              <w:top w:val="nil"/>
              <w:left w:val="nil"/>
              <w:bottom w:val="single" w:sz="8" w:space="0" w:color="7F7F7F"/>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18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112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265"/>
        </w:trPr>
        <w:tc>
          <w:tcPr>
            <w:tcW w:w="120" w:type="dxa"/>
            <w:tcBorders>
              <w:top w:val="single" w:sz="8" w:space="0" w:color="auto"/>
              <w:left w:val="single" w:sz="8" w:space="0" w:color="auto"/>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8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208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ind w:left="980"/>
              <w:rPr>
                <w:rFonts w:ascii="Times New Roman" w:hAnsi="Times New Roman"/>
                <w:sz w:val="24"/>
                <w:szCs w:val="24"/>
              </w:rPr>
            </w:pPr>
            <w:r w:rsidRPr="00481167">
              <w:rPr>
                <w:rFonts w:cs="Calibri"/>
              </w:rPr>
              <w:t>1</w:t>
            </w:r>
          </w:p>
        </w:tc>
        <w:tc>
          <w:tcPr>
            <w:tcW w:w="14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2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ind w:right="430"/>
              <w:jc w:val="right"/>
              <w:rPr>
                <w:rFonts w:ascii="Times New Roman" w:hAnsi="Times New Roman"/>
                <w:sz w:val="24"/>
                <w:szCs w:val="24"/>
              </w:rPr>
            </w:pPr>
            <w:r w:rsidRPr="00481167">
              <w:rPr>
                <w:rFonts w:cs="Calibri"/>
              </w:rPr>
              <w:t>2</w:t>
            </w: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68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ind w:right="170"/>
              <w:jc w:val="right"/>
              <w:rPr>
                <w:rFonts w:ascii="Times New Roman" w:hAnsi="Times New Roman"/>
                <w:sz w:val="24"/>
                <w:szCs w:val="24"/>
              </w:rPr>
            </w:pPr>
            <w:r w:rsidRPr="00481167">
              <w:rPr>
                <w:rFonts w:cs="Calibri"/>
              </w:rPr>
              <w:t>3</w:t>
            </w: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1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ind w:right="390"/>
              <w:jc w:val="right"/>
              <w:rPr>
                <w:rFonts w:ascii="Times New Roman" w:hAnsi="Times New Roman"/>
                <w:sz w:val="24"/>
                <w:szCs w:val="24"/>
              </w:rPr>
            </w:pPr>
            <w:r w:rsidRPr="00481167">
              <w:rPr>
                <w:rFonts w:cs="Calibri"/>
              </w:rPr>
              <w:t>4</w:t>
            </w: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76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ind w:right="210"/>
              <w:jc w:val="right"/>
              <w:rPr>
                <w:rFonts w:ascii="Times New Roman" w:hAnsi="Times New Roman"/>
                <w:sz w:val="24"/>
                <w:szCs w:val="24"/>
              </w:rPr>
            </w:pPr>
            <w:r w:rsidRPr="00481167">
              <w:rPr>
                <w:rFonts w:cs="Calibri"/>
              </w:rPr>
              <w:t>5</w:t>
            </w:r>
          </w:p>
        </w:tc>
        <w:tc>
          <w:tcPr>
            <w:tcW w:w="20" w:type="dxa"/>
            <w:tcBorders>
              <w:top w:val="single" w:sz="8" w:space="0" w:color="auto"/>
              <w:left w:val="nil"/>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8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12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jc w:val="right"/>
              <w:rPr>
                <w:rFonts w:ascii="Times New Roman" w:hAnsi="Times New Roman"/>
                <w:sz w:val="24"/>
                <w:szCs w:val="24"/>
              </w:rPr>
            </w:pPr>
            <w:r w:rsidRPr="00481167">
              <w:rPr>
                <w:rFonts w:cs="Calibri"/>
              </w:rPr>
              <w:t>6(4/2*100)</w:t>
            </w: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290"/>
        </w:trPr>
        <w:tc>
          <w:tcPr>
            <w:tcW w:w="920" w:type="dxa"/>
            <w:gridSpan w:val="2"/>
            <w:tcBorders>
              <w:top w:val="nil"/>
              <w:left w:val="single" w:sz="8" w:space="0" w:color="auto"/>
              <w:bottom w:val="single" w:sz="8" w:space="0" w:color="auto"/>
              <w:right w:val="nil"/>
            </w:tcBorders>
            <w:vAlign w:val="bottom"/>
          </w:tcPr>
          <w:p w:rsidR="00C47CD5" w:rsidRPr="00481167" w:rsidRDefault="00C47CD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1.</w:t>
            </w:r>
          </w:p>
        </w:tc>
        <w:tc>
          <w:tcPr>
            <w:tcW w:w="120" w:type="dxa"/>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2220" w:type="dxa"/>
            <w:gridSpan w:val="2"/>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Hrvatske ceste</w:t>
            </w:r>
          </w:p>
        </w:tc>
        <w:tc>
          <w:tcPr>
            <w:tcW w:w="1280" w:type="dxa"/>
            <w:gridSpan w:val="2"/>
            <w:tcBorders>
              <w:top w:val="nil"/>
              <w:left w:val="nil"/>
              <w:bottom w:val="single" w:sz="8" w:space="0" w:color="auto"/>
              <w:right w:val="nil"/>
            </w:tcBorders>
            <w:vAlign w:val="bottom"/>
          </w:tcPr>
          <w:p w:rsidR="00C47CD5" w:rsidRPr="00C47CD5" w:rsidRDefault="00C47CD5" w:rsidP="00C47CD5">
            <w:pPr>
              <w:widowControl w:val="0"/>
              <w:autoSpaceDE w:val="0"/>
              <w:autoSpaceDN w:val="0"/>
              <w:adjustRightInd w:val="0"/>
              <w:spacing w:after="0" w:line="267" w:lineRule="exact"/>
              <w:jc w:val="right"/>
              <w:rPr>
                <w:rFonts w:asciiTheme="minorHAnsi" w:hAnsiTheme="minorHAnsi"/>
              </w:rPr>
            </w:pPr>
            <w:r w:rsidRPr="00C47CD5">
              <w:rPr>
                <w:rFonts w:asciiTheme="minorHAnsi" w:hAnsiTheme="minorHAnsi"/>
              </w:rPr>
              <w:t>32.989.150</w:t>
            </w:r>
          </w:p>
        </w:tc>
        <w:tc>
          <w:tcPr>
            <w:tcW w:w="120" w:type="dxa"/>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900" w:type="dxa"/>
            <w:gridSpan w:val="3"/>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59,32</w:t>
            </w:r>
          </w:p>
        </w:tc>
        <w:tc>
          <w:tcPr>
            <w:tcW w:w="1320" w:type="dxa"/>
            <w:gridSpan w:val="3"/>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28.499.999</w:t>
            </w:r>
          </w:p>
        </w:tc>
        <w:tc>
          <w:tcPr>
            <w:tcW w:w="100" w:type="dxa"/>
            <w:tcBorders>
              <w:top w:val="nil"/>
              <w:left w:val="nil"/>
              <w:bottom w:val="single" w:sz="8" w:space="0" w:color="auto"/>
              <w:right w:val="nil"/>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800" w:type="dxa"/>
            <w:gridSpan w:val="3"/>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54,91</w:t>
            </w:r>
          </w:p>
        </w:tc>
        <w:tc>
          <w:tcPr>
            <w:tcW w:w="1420" w:type="dxa"/>
            <w:gridSpan w:val="3"/>
            <w:tcBorders>
              <w:top w:val="nil"/>
              <w:left w:val="nil"/>
              <w:bottom w:val="single" w:sz="8" w:space="0" w:color="auto"/>
              <w:right w:val="single" w:sz="8" w:space="0" w:color="auto"/>
            </w:tcBorders>
            <w:vAlign w:val="bottom"/>
          </w:tcPr>
          <w:p w:rsidR="00C47CD5" w:rsidRPr="00C47CD5" w:rsidRDefault="00C47CD5" w:rsidP="009C6F78">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86,40</w:t>
            </w:r>
          </w:p>
        </w:tc>
        <w:tc>
          <w:tcPr>
            <w:tcW w:w="3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C47CD5">
        <w:trPr>
          <w:trHeight w:val="254"/>
        </w:trPr>
        <w:tc>
          <w:tcPr>
            <w:tcW w:w="120" w:type="dxa"/>
            <w:tcBorders>
              <w:top w:val="nil"/>
              <w:left w:val="single" w:sz="8" w:space="0" w:color="auto"/>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800" w:type="dxa"/>
            <w:tcBorders>
              <w:top w:val="nil"/>
              <w:left w:val="nil"/>
              <w:bottom w:val="nil"/>
              <w:right w:val="nil"/>
            </w:tcBorders>
            <w:vAlign w:val="bottom"/>
          </w:tcPr>
          <w:p w:rsidR="00C47CD5" w:rsidRPr="00481167" w:rsidRDefault="009C6F78" w:rsidP="00933A35">
            <w:pPr>
              <w:widowControl w:val="0"/>
              <w:autoSpaceDE w:val="0"/>
              <w:autoSpaceDN w:val="0"/>
              <w:adjustRightInd w:val="0"/>
              <w:spacing w:after="0" w:line="240" w:lineRule="auto"/>
              <w:rPr>
                <w:rFonts w:ascii="Times New Roman" w:hAnsi="Times New Roman"/>
              </w:rPr>
            </w:pPr>
            <w:r>
              <w:rPr>
                <w:rFonts w:cs="Calibri"/>
                <w:w w:val="95"/>
              </w:rPr>
              <w:t xml:space="preserve">      </w:t>
            </w:r>
            <w:r w:rsidRPr="00481167">
              <w:rPr>
                <w:rFonts w:cs="Calibri"/>
                <w:w w:val="95"/>
              </w:rPr>
              <w:t>2.</w:t>
            </w:r>
          </w:p>
        </w:tc>
        <w:tc>
          <w:tcPr>
            <w:tcW w:w="120" w:type="dxa"/>
            <w:tcBorders>
              <w:top w:val="nil"/>
              <w:left w:val="nil"/>
              <w:bottom w:val="nil"/>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2220" w:type="dxa"/>
            <w:gridSpan w:val="2"/>
            <w:tcBorders>
              <w:top w:val="nil"/>
              <w:left w:val="nil"/>
              <w:bottom w:val="nil"/>
              <w:right w:val="single" w:sz="8" w:space="0" w:color="auto"/>
            </w:tcBorders>
            <w:vAlign w:val="bottom"/>
          </w:tcPr>
          <w:p w:rsidR="00C47CD5" w:rsidRPr="00481167" w:rsidRDefault="00C47CD5" w:rsidP="00933A35">
            <w:pPr>
              <w:widowControl w:val="0"/>
              <w:autoSpaceDE w:val="0"/>
              <w:autoSpaceDN w:val="0"/>
              <w:adjustRightInd w:val="0"/>
              <w:spacing w:after="0" w:line="254" w:lineRule="exact"/>
              <w:rPr>
                <w:rFonts w:ascii="Times New Roman" w:hAnsi="Times New Roman"/>
                <w:sz w:val="24"/>
                <w:szCs w:val="24"/>
              </w:rPr>
            </w:pPr>
            <w:r w:rsidRPr="00481167">
              <w:rPr>
                <w:rFonts w:cs="Calibri"/>
              </w:rPr>
              <w:t>Županijska uprava za</w:t>
            </w:r>
          </w:p>
        </w:tc>
        <w:tc>
          <w:tcPr>
            <w:tcW w:w="80" w:type="dxa"/>
            <w:tcBorders>
              <w:top w:val="nil"/>
              <w:left w:val="nil"/>
              <w:bottom w:val="nil"/>
              <w:right w:val="nil"/>
            </w:tcBorders>
            <w:vAlign w:val="center"/>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1200" w:type="dxa"/>
            <w:tcBorders>
              <w:top w:val="nil"/>
              <w:left w:val="nil"/>
              <w:bottom w:val="nil"/>
              <w:right w:val="nil"/>
            </w:tcBorders>
            <w:vAlign w:val="center"/>
          </w:tcPr>
          <w:p w:rsidR="00C47CD5" w:rsidRPr="00C47CD5" w:rsidRDefault="00C47CD5" w:rsidP="00C47CD5">
            <w:pPr>
              <w:widowControl w:val="0"/>
              <w:autoSpaceDE w:val="0"/>
              <w:autoSpaceDN w:val="0"/>
              <w:adjustRightInd w:val="0"/>
              <w:spacing w:after="0" w:line="240" w:lineRule="auto"/>
              <w:rPr>
                <w:rFonts w:asciiTheme="minorHAnsi" w:hAnsiTheme="minorHAnsi"/>
              </w:rPr>
            </w:pPr>
            <w:r>
              <w:rPr>
                <w:rFonts w:asciiTheme="minorHAnsi" w:hAnsiTheme="minorHAnsi"/>
              </w:rPr>
              <w:t xml:space="preserve">   </w:t>
            </w:r>
            <w:r w:rsidRPr="00C47CD5">
              <w:rPr>
                <w:rFonts w:asciiTheme="minorHAnsi" w:hAnsiTheme="minorHAnsi"/>
              </w:rPr>
              <w:t>15.346.912</w:t>
            </w:r>
          </w:p>
        </w:tc>
        <w:tc>
          <w:tcPr>
            <w:tcW w:w="120" w:type="dxa"/>
            <w:tcBorders>
              <w:top w:val="nil"/>
              <w:left w:val="nil"/>
              <w:bottom w:val="nil"/>
              <w:right w:val="single" w:sz="8" w:space="0" w:color="auto"/>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100" w:type="dxa"/>
            <w:tcBorders>
              <w:top w:val="nil"/>
              <w:left w:val="nil"/>
              <w:bottom w:val="nil"/>
              <w:right w:val="nil"/>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680" w:type="dxa"/>
            <w:tcBorders>
              <w:top w:val="nil"/>
              <w:left w:val="nil"/>
              <w:bottom w:val="nil"/>
              <w:right w:val="nil"/>
            </w:tcBorders>
            <w:vAlign w:val="center"/>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r w:rsidRPr="00C47CD5">
              <w:rPr>
                <w:rFonts w:asciiTheme="minorHAnsi" w:hAnsiTheme="minorHAnsi"/>
              </w:rPr>
              <w:t>27,60</w:t>
            </w:r>
          </w:p>
        </w:tc>
        <w:tc>
          <w:tcPr>
            <w:tcW w:w="120" w:type="dxa"/>
            <w:tcBorders>
              <w:top w:val="nil"/>
              <w:left w:val="nil"/>
              <w:bottom w:val="nil"/>
              <w:right w:val="single" w:sz="8" w:space="0" w:color="auto"/>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100" w:type="dxa"/>
            <w:tcBorders>
              <w:top w:val="nil"/>
              <w:left w:val="nil"/>
              <w:bottom w:val="nil"/>
              <w:right w:val="nil"/>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1100" w:type="dxa"/>
            <w:tcBorders>
              <w:top w:val="nil"/>
              <w:left w:val="nil"/>
              <w:bottom w:val="nil"/>
              <w:right w:val="nil"/>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r w:rsidRPr="00C47CD5">
              <w:rPr>
                <w:rFonts w:asciiTheme="minorHAnsi" w:hAnsiTheme="minorHAnsi"/>
              </w:rPr>
              <w:t>14.893.729</w:t>
            </w:r>
          </w:p>
        </w:tc>
        <w:tc>
          <w:tcPr>
            <w:tcW w:w="120" w:type="dxa"/>
            <w:tcBorders>
              <w:top w:val="nil"/>
              <w:left w:val="nil"/>
              <w:bottom w:val="nil"/>
              <w:right w:val="single" w:sz="8" w:space="0" w:color="auto"/>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100" w:type="dxa"/>
            <w:tcBorders>
              <w:top w:val="nil"/>
              <w:left w:val="nil"/>
              <w:bottom w:val="nil"/>
              <w:right w:val="nil"/>
            </w:tcBorders>
            <w:vAlign w:val="center"/>
          </w:tcPr>
          <w:p w:rsidR="00C47CD5" w:rsidRPr="00C47CD5" w:rsidRDefault="00C47CD5" w:rsidP="00C47CD5">
            <w:pPr>
              <w:widowControl w:val="0"/>
              <w:autoSpaceDE w:val="0"/>
              <w:autoSpaceDN w:val="0"/>
              <w:adjustRightInd w:val="0"/>
              <w:spacing w:after="0" w:line="240" w:lineRule="auto"/>
              <w:jc w:val="center"/>
              <w:rPr>
                <w:rFonts w:asciiTheme="minorHAnsi" w:hAnsiTheme="minorHAnsi"/>
              </w:rPr>
            </w:pPr>
          </w:p>
        </w:tc>
        <w:tc>
          <w:tcPr>
            <w:tcW w:w="760" w:type="dxa"/>
            <w:tcBorders>
              <w:top w:val="nil"/>
              <w:left w:val="nil"/>
              <w:bottom w:val="nil"/>
              <w:right w:val="nil"/>
            </w:tcBorders>
            <w:vAlign w:val="center"/>
          </w:tcPr>
          <w:p w:rsidR="00C47CD5" w:rsidRPr="00C47CD5" w:rsidRDefault="009C6F78" w:rsidP="00C47CD5">
            <w:pPr>
              <w:widowControl w:val="0"/>
              <w:autoSpaceDE w:val="0"/>
              <w:autoSpaceDN w:val="0"/>
              <w:adjustRightInd w:val="0"/>
              <w:spacing w:after="0" w:line="240" w:lineRule="auto"/>
              <w:jc w:val="center"/>
              <w:rPr>
                <w:rFonts w:asciiTheme="minorHAnsi" w:hAnsiTheme="minorHAnsi"/>
              </w:rPr>
            </w:pPr>
            <w:r>
              <w:rPr>
                <w:rFonts w:asciiTheme="minorHAnsi" w:hAnsiTheme="minorHAnsi"/>
              </w:rPr>
              <w:t xml:space="preserve">   </w:t>
            </w:r>
            <w:r w:rsidRPr="00C47CD5">
              <w:rPr>
                <w:rFonts w:asciiTheme="minorHAnsi" w:hAnsiTheme="minorHAnsi"/>
              </w:rPr>
              <w:t>28,70</w:t>
            </w:r>
          </w:p>
        </w:tc>
        <w:tc>
          <w:tcPr>
            <w:tcW w:w="20" w:type="dxa"/>
            <w:tcBorders>
              <w:top w:val="nil"/>
              <w:left w:val="nil"/>
              <w:bottom w:val="nil"/>
              <w:right w:val="nil"/>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20" w:type="dxa"/>
            <w:tcBorders>
              <w:top w:val="nil"/>
              <w:left w:val="nil"/>
              <w:bottom w:val="nil"/>
              <w:right w:val="single" w:sz="8" w:space="0" w:color="auto"/>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180" w:type="dxa"/>
            <w:tcBorders>
              <w:top w:val="nil"/>
              <w:left w:val="nil"/>
              <w:bottom w:val="nil"/>
              <w:right w:val="nil"/>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1120" w:type="dxa"/>
            <w:tcBorders>
              <w:top w:val="nil"/>
              <w:left w:val="nil"/>
              <w:bottom w:val="nil"/>
              <w:right w:val="nil"/>
            </w:tcBorders>
            <w:vAlign w:val="bottom"/>
          </w:tcPr>
          <w:p w:rsidR="00C47CD5" w:rsidRPr="00C47CD5" w:rsidRDefault="009C6F78" w:rsidP="009C6F78">
            <w:pPr>
              <w:widowControl w:val="0"/>
              <w:autoSpaceDE w:val="0"/>
              <w:autoSpaceDN w:val="0"/>
              <w:adjustRightInd w:val="0"/>
              <w:spacing w:after="0" w:line="240" w:lineRule="auto"/>
              <w:jc w:val="right"/>
              <w:rPr>
                <w:rFonts w:asciiTheme="minorHAnsi" w:hAnsiTheme="minorHAnsi"/>
              </w:rPr>
            </w:pPr>
            <w:r>
              <w:rPr>
                <w:rFonts w:asciiTheme="minorHAnsi" w:hAnsiTheme="minorHAnsi"/>
              </w:rPr>
              <w:t xml:space="preserve">    </w:t>
            </w:r>
            <w:r w:rsidRPr="00C47CD5">
              <w:rPr>
                <w:rFonts w:asciiTheme="minorHAnsi" w:hAnsiTheme="minorHAnsi"/>
              </w:rPr>
              <w:t>97,05</w:t>
            </w:r>
          </w:p>
        </w:tc>
        <w:tc>
          <w:tcPr>
            <w:tcW w:w="120" w:type="dxa"/>
            <w:tcBorders>
              <w:top w:val="nil"/>
              <w:left w:val="nil"/>
              <w:bottom w:val="nil"/>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C47CD5">
        <w:trPr>
          <w:trHeight w:val="273"/>
        </w:trPr>
        <w:tc>
          <w:tcPr>
            <w:tcW w:w="920" w:type="dxa"/>
            <w:gridSpan w:val="2"/>
            <w:tcBorders>
              <w:top w:val="nil"/>
              <w:left w:val="single" w:sz="8" w:space="0" w:color="auto"/>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ind w:left="10"/>
              <w:jc w:val="center"/>
              <w:rPr>
                <w:rFonts w:ascii="Times New Roman" w:hAnsi="Times New Roman"/>
                <w:sz w:val="24"/>
                <w:szCs w:val="24"/>
              </w:rPr>
            </w:pPr>
          </w:p>
        </w:tc>
        <w:tc>
          <w:tcPr>
            <w:tcW w:w="120" w:type="dxa"/>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2220" w:type="dxa"/>
            <w:gridSpan w:val="2"/>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ceste</w:t>
            </w:r>
          </w:p>
        </w:tc>
        <w:tc>
          <w:tcPr>
            <w:tcW w:w="1280" w:type="dxa"/>
            <w:gridSpan w:val="2"/>
            <w:tcBorders>
              <w:top w:val="nil"/>
              <w:left w:val="nil"/>
              <w:bottom w:val="single" w:sz="8" w:space="0" w:color="auto"/>
              <w:right w:val="nil"/>
            </w:tcBorders>
            <w:vAlign w:val="center"/>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120" w:type="dxa"/>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900" w:type="dxa"/>
            <w:gridSpan w:val="3"/>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40" w:lineRule="auto"/>
              <w:ind w:right="120"/>
              <w:jc w:val="right"/>
              <w:rPr>
                <w:rFonts w:asciiTheme="minorHAnsi" w:hAnsiTheme="minorHAnsi"/>
              </w:rPr>
            </w:pPr>
          </w:p>
        </w:tc>
        <w:tc>
          <w:tcPr>
            <w:tcW w:w="1320" w:type="dxa"/>
            <w:gridSpan w:val="3"/>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40" w:lineRule="auto"/>
              <w:ind w:right="120"/>
              <w:jc w:val="right"/>
              <w:rPr>
                <w:rFonts w:asciiTheme="minorHAnsi" w:hAnsiTheme="minorHAnsi"/>
              </w:rPr>
            </w:pPr>
          </w:p>
        </w:tc>
        <w:tc>
          <w:tcPr>
            <w:tcW w:w="100" w:type="dxa"/>
            <w:tcBorders>
              <w:top w:val="nil"/>
              <w:left w:val="nil"/>
              <w:bottom w:val="single" w:sz="8" w:space="0" w:color="auto"/>
              <w:right w:val="nil"/>
            </w:tcBorders>
            <w:vAlign w:val="center"/>
          </w:tcPr>
          <w:p w:rsidR="00C47CD5" w:rsidRPr="00C47CD5" w:rsidRDefault="00C47CD5" w:rsidP="00C47CD5">
            <w:pPr>
              <w:widowControl w:val="0"/>
              <w:autoSpaceDE w:val="0"/>
              <w:autoSpaceDN w:val="0"/>
              <w:adjustRightInd w:val="0"/>
              <w:spacing w:after="0" w:line="240" w:lineRule="auto"/>
              <w:jc w:val="center"/>
              <w:rPr>
                <w:rFonts w:asciiTheme="minorHAnsi" w:hAnsiTheme="minorHAnsi"/>
              </w:rPr>
            </w:pPr>
          </w:p>
        </w:tc>
        <w:tc>
          <w:tcPr>
            <w:tcW w:w="800" w:type="dxa"/>
            <w:gridSpan w:val="3"/>
            <w:tcBorders>
              <w:top w:val="nil"/>
              <w:left w:val="nil"/>
              <w:bottom w:val="single" w:sz="8" w:space="0" w:color="auto"/>
              <w:right w:val="single" w:sz="8" w:space="0" w:color="auto"/>
            </w:tcBorders>
            <w:vAlign w:val="center"/>
          </w:tcPr>
          <w:p w:rsidR="00C47CD5" w:rsidRPr="00C47CD5" w:rsidRDefault="00C47CD5" w:rsidP="00C47CD5">
            <w:pPr>
              <w:widowControl w:val="0"/>
              <w:autoSpaceDE w:val="0"/>
              <w:autoSpaceDN w:val="0"/>
              <w:adjustRightInd w:val="0"/>
              <w:spacing w:after="0" w:line="240" w:lineRule="auto"/>
              <w:ind w:right="120"/>
              <w:jc w:val="center"/>
              <w:rPr>
                <w:rFonts w:asciiTheme="minorHAnsi" w:hAnsiTheme="minorHAnsi"/>
              </w:rPr>
            </w:pPr>
          </w:p>
        </w:tc>
        <w:tc>
          <w:tcPr>
            <w:tcW w:w="1420" w:type="dxa"/>
            <w:gridSpan w:val="3"/>
            <w:tcBorders>
              <w:top w:val="nil"/>
              <w:left w:val="nil"/>
              <w:bottom w:val="single" w:sz="8" w:space="0" w:color="auto"/>
              <w:right w:val="single" w:sz="8" w:space="0" w:color="auto"/>
            </w:tcBorders>
            <w:vAlign w:val="bottom"/>
          </w:tcPr>
          <w:p w:rsidR="00C47CD5" w:rsidRPr="00C47CD5" w:rsidRDefault="00C47CD5" w:rsidP="009C6F78">
            <w:pPr>
              <w:widowControl w:val="0"/>
              <w:autoSpaceDE w:val="0"/>
              <w:autoSpaceDN w:val="0"/>
              <w:adjustRightInd w:val="0"/>
              <w:spacing w:after="0" w:line="240" w:lineRule="auto"/>
              <w:ind w:right="120"/>
              <w:jc w:val="right"/>
              <w:rPr>
                <w:rFonts w:asciiTheme="minorHAnsi" w:hAnsiTheme="minorHAnsi"/>
              </w:rPr>
            </w:pPr>
          </w:p>
        </w:tc>
        <w:tc>
          <w:tcPr>
            <w:tcW w:w="3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291"/>
        </w:trPr>
        <w:tc>
          <w:tcPr>
            <w:tcW w:w="920" w:type="dxa"/>
            <w:gridSpan w:val="2"/>
            <w:tcBorders>
              <w:top w:val="nil"/>
              <w:left w:val="single" w:sz="8" w:space="0" w:color="auto"/>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w w:val="95"/>
              </w:rPr>
              <w:t>3.</w:t>
            </w:r>
          </w:p>
        </w:tc>
        <w:tc>
          <w:tcPr>
            <w:tcW w:w="120" w:type="dxa"/>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2220" w:type="dxa"/>
            <w:gridSpan w:val="2"/>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Grad Gospić</w:t>
            </w:r>
          </w:p>
        </w:tc>
        <w:tc>
          <w:tcPr>
            <w:tcW w:w="1280" w:type="dxa"/>
            <w:gridSpan w:val="2"/>
            <w:tcBorders>
              <w:top w:val="nil"/>
              <w:left w:val="nil"/>
              <w:bottom w:val="single" w:sz="8" w:space="0" w:color="auto"/>
              <w:right w:val="nil"/>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r w:rsidRPr="00C47CD5">
              <w:rPr>
                <w:rFonts w:asciiTheme="minorHAnsi" w:hAnsiTheme="minorHAnsi"/>
              </w:rPr>
              <w:t>5.245.415</w:t>
            </w:r>
          </w:p>
        </w:tc>
        <w:tc>
          <w:tcPr>
            <w:tcW w:w="120" w:type="dxa"/>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900" w:type="dxa"/>
            <w:gridSpan w:val="3"/>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9,43</w:t>
            </w:r>
          </w:p>
        </w:tc>
        <w:tc>
          <w:tcPr>
            <w:tcW w:w="1320" w:type="dxa"/>
            <w:gridSpan w:val="3"/>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6.020.093</w:t>
            </w:r>
          </w:p>
        </w:tc>
        <w:tc>
          <w:tcPr>
            <w:tcW w:w="100" w:type="dxa"/>
            <w:tcBorders>
              <w:top w:val="nil"/>
              <w:left w:val="nil"/>
              <w:bottom w:val="single" w:sz="8" w:space="0" w:color="auto"/>
              <w:right w:val="nil"/>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800" w:type="dxa"/>
            <w:gridSpan w:val="3"/>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11,60</w:t>
            </w:r>
          </w:p>
        </w:tc>
        <w:tc>
          <w:tcPr>
            <w:tcW w:w="1420" w:type="dxa"/>
            <w:gridSpan w:val="3"/>
            <w:tcBorders>
              <w:top w:val="nil"/>
              <w:left w:val="nil"/>
              <w:bottom w:val="single" w:sz="8" w:space="0" w:color="auto"/>
              <w:right w:val="single" w:sz="8" w:space="0" w:color="auto"/>
            </w:tcBorders>
            <w:vAlign w:val="bottom"/>
          </w:tcPr>
          <w:p w:rsidR="00C47CD5" w:rsidRPr="00C47CD5" w:rsidRDefault="00C47CD5" w:rsidP="009C6F78">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114,77</w:t>
            </w:r>
          </w:p>
        </w:tc>
        <w:tc>
          <w:tcPr>
            <w:tcW w:w="3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291"/>
        </w:trPr>
        <w:tc>
          <w:tcPr>
            <w:tcW w:w="920" w:type="dxa"/>
            <w:gridSpan w:val="2"/>
            <w:tcBorders>
              <w:top w:val="nil"/>
              <w:left w:val="single" w:sz="8" w:space="0" w:color="auto"/>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w w:val="95"/>
              </w:rPr>
              <w:t>4.</w:t>
            </w:r>
          </w:p>
        </w:tc>
        <w:tc>
          <w:tcPr>
            <w:tcW w:w="120" w:type="dxa"/>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2220" w:type="dxa"/>
            <w:gridSpan w:val="2"/>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Općina Plitvička jezera</w:t>
            </w:r>
          </w:p>
        </w:tc>
        <w:tc>
          <w:tcPr>
            <w:tcW w:w="1280" w:type="dxa"/>
            <w:gridSpan w:val="2"/>
            <w:tcBorders>
              <w:top w:val="nil"/>
              <w:left w:val="nil"/>
              <w:bottom w:val="single" w:sz="8" w:space="0" w:color="auto"/>
              <w:right w:val="nil"/>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r w:rsidRPr="00C47CD5">
              <w:rPr>
                <w:rFonts w:asciiTheme="minorHAnsi" w:hAnsiTheme="minorHAnsi"/>
              </w:rPr>
              <w:t>667.502</w:t>
            </w:r>
          </w:p>
        </w:tc>
        <w:tc>
          <w:tcPr>
            <w:tcW w:w="120" w:type="dxa"/>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900" w:type="dxa"/>
            <w:gridSpan w:val="3"/>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1,20</w:t>
            </w:r>
          </w:p>
        </w:tc>
        <w:tc>
          <w:tcPr>
            <w:tcW w:w="1320" w:type="dxa"/>
            <w:gridSpan w:val="3"/>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801.605</w:t>
            </w:r>
          </w:p>
        </w:tc>
        <w:tc>
          <w:tcPr>
            <w:tcW w:w="100" w:type="dxa"/>
            <w:tcBorders>
              <w:top w:val="nil"/>
              <w:left w:val="nil"/>
              <w:bottom w:val="single" w:sz="8" w:space="0" w:color="auto"/>
              <w:right w:val="nil"/>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800" w:type="dxa"/>
            <w:gridSpan w:val="3"/>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1,54</w:t>
            </w:r>
          </w:p>
        </w:tc>
        <w:tc>
          <w:tcPr>
            <w:tcW w:w="1420" w:type="dxa"/>
            <w:gridSpan w:val="3"/>
            <w:tcBorders>
              <w:top w:val="nil"/>
              <w:left w:val="nil"/>
              <w:bottom w:val="single" w:sz="8" w:space="0" w:color="auto"/>
              <w:right w:val="single" w:sz="8" w:space="0" w:color="auto"/>
            </w:tcBorders>
            <w:vAlign w:val="bottom"/>
          </w:tcPr>
          <w:p w:rsidR="00C47CD5" w:rsidRPr="00C47CD5" w:rsidRDefault="00C47CD5" w:rsidP="009C6F78">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120,10</w:t>
            </w:r>
          </w:p>
        </w:tc>
        <w:tc>
          <w:tcPr>
            <w:tcW w:w="3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354"/>
        </w:trPr>
        <w:tc>
          <w:tcPr>
            <w:tcW w:w="920" w:type="dxa"/>
            <w:gridSpan w:val="2"/>
            <w:tcBorders>
              <w:top w:val="nil"/>
              <w:left w:val="single" w:sz="8" w:space="0" w:color="auto"/>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w w:val="95"/>
              </w:rPr>
              <w:t>5.</w:t>
            </w:r>
          </w:p>
        </w:tc>
        <w:tc>
          <w:tcPr>
            <w:tcW w:w="120" w:type="dxa"/>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2220" w:type="dxa"/>
            <w:gridSpan w:val="2"/>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Ostali kupci</w:t>
            </w:r>
          </w:p>
        </w:tc>
        <w:tc>
          <w:tcPr>
            <w:tcW w:w="1280" w:type="dxa"/>
            <w:gridSpan w:val="2"/>
            <w:tcBorders>
              <w:top w:val="nil"/>
              <w:left w:val="nil"/>
              <w:bottom w:val="single" w:sz="8" w:space="0" w:color="auto"/>
              <w:right w:val="nil"/>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r w:rsidRPr="00C47CD5">
              <w:rPr>
                <w:rFonts w:asciiTheme="minorHAnsi" w:hAnsiTheme="minorHAnsi"/>
              </w:rPr>
              <w:t>1.362.527</w:t>
            </w:r>
          </w:p>
        </w:tc>
        <w:tc>
          <w:tcPr>
            <w:tcW w:w="120" w:type="dxa"/>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900" w:type="dxa"/>
            <w:gridSpan w:val="3"/>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2,45</w:t>
            </w:r>
          </w:p>
        </w:tc>
        <w:tc>
          <w:tcPr>
            <w:tcW w:w="1320" w:type="dxa"/>
            <w:gridSpan w:val="3"/>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1.683.291</w:t>
            </w:r>
          </w:p>
        </w:tc>
        <w:tc>
          <w:tcPr>
            <w:tcW w:w="100" w:type="dxa"/>
            <w:tcBorders>
              <w:top w:val="nil"/>
              <w:left w:val="nil"/>
              <w:bottom w:val="single" w:sz="8" w:space="0" w:color="auto"/>
              <w:right w:val="nil"/>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800" w:type="dxa"/>
            <w:gridSpan w:val="3"/>
            <w:tcBorders>
              <w:top w:val="nil"/>
              <w:left w:val="nil"/>
              <w:bottom w:val="single" w:sz="8" w:space="0" w:color="auto"/>
              <w:right w:val="single" w:sz="8" w:space="0" w:color="auto"/>
            </w:tcBorders>
            <w:vAlign w:val="bottom"/>
          </w:tcPr>
          <w:p w:rsidR="00C47CD5" w:rsidRPr="00C47CD5" w:rsidRDefault="00C47CD5" w:rsidP="00C47CD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3,24</w:t>
            </w:r>
          </w:p>
        </w:tc>
        <w:tc>
          <w:tcPr>
            <w:tcW w:w="1420" w:type="dxa"/>
            <w:gridSpan w:val="3"/>
            <w:tcBorders>
              <w:top w:val="nil"/>
              <w:left w:val="nil"/>
              <w:bottom w:val="single" w:sz="8" w:space="0" w:color="auto"/>
              <w:right w:val="single" w:sz="8" w:space="0" w:color="auto"/>
            </w:tcBorders>
            <w:vAlign w:val="bottom"/>
          </w:tcPr>
          <w:p w:rsidR="00C47CD5" w:rsidRPr="00C47CD5" w:rsidRDefault="00C47CD5" w:rsidP="009C6F78">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123,54</w:t>
            </w:r>
          </w:p>
        </w:tc>
        <w:tc>
          <w:tcPr>
            <w:tcW w:w="3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245"/>
        </w:trPr>
        <w:tc>
          <w:tcPr>
            <w:tcW w:w="120" w:type="dxa"/>
            <w:tcBorders>
              <w:top w:val="single" w:sz="8" w:space="0" w:color="F79646"/>
              <w:left w:val="single" w:sz="8" w:space="0" w:color="auto"/>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800" w:type="dxa"/>
            <w:tcBorders>
              <w:top w:val="single" w:sz="8" w:space="0" w:color="F79646"/>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100" w:type="dxa"/>
            <w:tcBorders>
              <w:top w:val="single" w:sz="8" w:space="0" w:color="F79646"/>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2080" w:type="dxa"/>
            <w:tcBorders>
              <w:top w:val="single" w:sz="8" w:space="0" w:color="F79646"/>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1" w:lineRule="exact"/>
              <w:rPr>
                <w:rFonts w:ascii="Times New Roman" w:hAnsi="Times New Roman"/>
                <w:sz w:val="24"/>
                <w:szCs w:val="24"/>
              </w:rPr>
            </w:pPr>
            <w:r w:rsidRPr="00481167">
              <w:rPr>
                <w:rFonts w:cs="Calibri"/>
                <w:b/>
                <w:bCs/>
              </w:rPr>
              <w:t>UKUPNO</w:t>
            </w:r>
          </w:p>
        </w:tc>
        <w:tc>
          <w:tcPr>
            <w:tcW w:w="140" w:type="dxa"/>
            <w:tcBorders>
              <w:top w:val="single" w:sz="8" w:space="0" w:color="F79646"/>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1"/>
                <w:szCs w:val="21"/>
              </w:rPr>
            </w:pPr>
          </w:p>
        </w:tc>
        <w:tc>
          <w:tcPr>
            <w:tcW w:w="80" w:type="dxa"/>
            <w:tcBorders>
              <w:top w:val="single" w:sz="8" w:space="0" w:color="F79646"/>
              <w:left w:val="nil"/>
              <w:bottom w:val="single" w:sz="8" w:space="0" w:color="auto"/>
              <w:right w:val="nil"/>
            </w:tcBorders>
            <w:shd w:val="clear" w:color="auto" w:fill="F79646"/>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1200" w:type="dxa"/>
            <w:tcBorders>
              <w:top w:val="single" w:sz="8" w:space="0" w:color="F79646"/>
              <w:left w:val="nil"/>
              <w:bottom w:val="single" w:sz="8" w:space="0" w:color="auto"/>
              <w:right w:val="nil"/>
            </w:tcBorders>
            <w:shd w:val="clear" w:color="auto" w:fill="F79646"/>
            <w:vAlign w:val="bottom"/>
          </w:tcPr>
          <w:p w:rsidR="00C47CD5" w:rsidRPr="00C47CD5" w:rsidRDefault="00C47CD5" w:rsidP="00C47CD5">
            <w:pPr>
              <w:widowControl w:val="0"/>
              <w:autoSpaceDE w:val="0"/>
              <w:autoSpaceDN w:val="0"/>
              <w:adjustRightInd w:val="0"/>
              <w:spacing w:after="0" w:line="241" w:lineRule="exact"/>
              <w:jc w:val="right"/>
              <w:rPr>
                <w:rFonts w:asciiTheme="minorHAnsi" w:hAnsiTheme="minorHAnsi"/>
                <w:b/>
              </w:rPr>
            </w:pPr>
            <w:r w:rsidRPr="00C47CD5">
              <w:rPr>
                <w:rFonts w:asciiTheme="minorHAnsi" w:hAnsiTheme="minorHAnsi"/>
                <w:b/>
              </w:rPr>
              <w:t>55.611.506</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680" w:type="dxa"/>
            <w:tcBorders>
              <w:top w:val="single" w:sz="8" w:space="0" w:color="F79646"/>
              <w:left w:val="nil"/>
              <w:bottom w:val="single" w:sz="8" w:space="0" w:color="auto"/>
              <w:right w:val="nil"/>
            </w:tcBorders>
            <w:shd w:val="clear" w:color="auto" w:fill="F79646"/>
            <w:vAlign w:val="bottom"/>
          </w:tcPr>
          <w:p w:rsidR="00C47CD5" w:rsidRPr="00C47CD5" w:rsidRDefault="00C47CD5" w:rsidP="00C47CD5">
            <w:pPr>
              <w:widowControl w:val="0"/>
              <w:autoSpaceDE w:val="0"/>
              <w:autoSpaceDN w:val="0"/>
              <w:adjustRightInd w:val="0"/>
              <w:spacing w:after="0" w:line="241" w:lineRule="exact"/>
              <w:jc w:val="right"/>
              <w:rPr>
                <w:rFonts w:asciiTheme="minorHAnsi" w:hAnsiTheme="minorHAnsi"/>
              </w:rPr>
            </w:pPr>
            <w:r w:rsidRPr="00C47CD5">
              <w:rPr>
                <w:rFonts w:asciiTheme="minorHAnsi" w:hAnsiTheme="minorHAnsi" w:cs="Calibri"/>
                <w:b/>
                <w:bCs/>
              </w:rPr>
              <w:t>100,00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1100" w:type="dxa"/>
            <w:tcBorders>
              <w:top w:val="single" w:sz="8" w:space="0" w:color="F79646"/>
              <w:left w:val="nil"/>
              <w:bottom w:val="single" w:sz="8" w:space="0" w:color="auto"/>
              <w:right w:val="nil"/>
            </w:tcBorders>
            <w:shd w:val="clear" w:color="auto" w:fill="F79646"/>
            <w:vAlign w:val="bottom"/>
          </w:tcPr>
          <w:p w:rsidR="00C47CD5" w:rsidRPr="00C47CD5" w:rsidRDefault="00C47CD5" w:rsidP="00C47CD5">
            <w:pPr>
              <w:widowControl w:val="0"/>
              <w:autoSpaceDE w:val="0"/>
              <w:autoSpaceDN w:val="0"/>
              <w:adjustRightInd w:val="0"/>
              <w:spacing w:after="0" w:line="241" w:lineRule="exact"/>
              <w:jc w:val="right"/>
              <w:rPr>
                <w:rFonts w:asciiTheme="minorHAnsi" w:hAnsiTheme="minorHAnsi"/>
                <w:b/>
              </w:rPr>
            </w:pPr>
            <w:r w:rsidRPr="00C47CD5">
              <w:rPr>
                <w:rFonts w:asciiTheme="minorHAnsi" w:hAnsiTheme="minorHAnsi"/>
                <w:b/>
              </w:rPr>
              <w:t>51.898.717</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760" w:type="dxa"/>
            <w:tcBorders>
              <w:top w:val="single" w:sz="8" w:space="0" w:color="F79646"/>
              <w:left w:val="nil"/>
              <w:bottom w:val="single" w:sz="8" w:space="0" w:color="auto"/>
              <w:right w:val="nil"/>
            </w:tcBorders>
            <w:shd w:val="clear" w:color="auto" w:fill="F79646"/>
            <w:vAlign w:val="bottom"/>
          </w:tcPr>
          <w:p w:rsidR="00C47CD5" w:rsidRPr="00C47CD5" w:rsidRDefault="00C47CD5" w:rsidP="00C47CD5">
            <w:pPr>
              <w:widowControl w:val="0"/>
              <w:autoSpaceDE w:val="0"/>
              <w:autoSpaceDN w:val="0"/>
              <w:adjustRightInd w:val="0"/>
              <w:spacing w:after="0" w:line="241" w:lineRule="exact"/>
              <w:jc w:val="right"/>
              <w:rPr>
                <w:rFonts w:asciiTheme="minorHAnsi" w:hAnsiTheme="minorHAnsi"/>
              </w:rPr>
            </w:pPr>
            <w:r w:rsidRPr="00C47CD5">
              <w:rPr>
                <w:rFonts w:asciiTheme="minorHAnsi" w:hAnsiTheme="minorHAnsi" w:cs="Calibri"/>
                <w:b/>
                <w:bCs/>
              </w:rPr>
              <w:t>100,00</w:t>
            </w:r>
          </w:p>
        </w:tc>
        <w:tc>
          <w:tcPr>
            <w:tcW w:w="20" w:type="dxa"/>
            <w:tcBorders>
              <w:top w:val="single" w:sz="8" w:space="0" w:color="F79646"/>
              <w:left w:val="nil"/>
              <w:bottom w:val="single" w:sz="8" w:space="0" w:color="auto"/>
              <w:right w:val="nil"/>
            </w:tcBorders>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20" w:type="dxa"/>
            <w:tcBorders>
              <w:top w:val="single" w:sz="8" w:space="0" w:color="F79646"/>
              <w:left w:val="nil"/>
              <w:bottom w:val="single" w:sz="8" w:space="0" w:color="auto"/>
              <w:right w:val="single" w:sz="8" w:space="0" w:color="auto"/>
            </w:tcBorders>
            <w:shd w:val="clear" w:color="auto" w:fill="F79646"/>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180" w:type="dxa"/>
            <w:tcBorders>
              <w:top w:val="single" w:sz="8" w:space="0" w:color="F79646"/>
              <w:left w:val="nil"/>
              <w:bottom w:val="single" w:sz="8" w:space="0" w:color="auto"/>
              <w:right w:val="nil"/>
            </w:tcBorders>
            <w:shd w:val="clear" w:color="auto" w:fill="F79646"/>
            <w:vAlign w:val="bottom"/>
          </w:tcPr>
          <w:p w:rsidR="00C47CD5" w:rsidRPr="00C47CD5" w:rsidRDefault="00C47CD5" w:rsidP="00C47CD5">
            <w:pPr>
              <w:widowControl w:val="0"/>
              <w:autoSpaceDE w:val="0"/>
              <w:autoSpaceDN w:val="0"/>
              <w:adjustRightInd w:val="0"/>
              <w:spacing w:after="0" w:line="240" w:lineRule="auto"/>
              <w:jc w:val="right"/>
              <w:rPr>
                <w:rFonts w:asciiTheme="minorHAnsi" w:hAnsiTheme="minorHAnsi"/>
              </w:rPr>
            </w:pPr>
          </w:p>
        </w:tc>
        <w:tc>
          <w:tcPr>
            <w:tcW w:w="1120" w:type="dxa"/>
            <w:tcBorders>
              <w:top w:val="single" w:sz="8" w:space="0" w:color="F79646"/>
              <w:left w:val="nil"/>
              <w:bottom w:val="single" w:sz="8" w:space="0" w:color="auto"/>
              <w:right w:val="nil"/>
            </w:tcBorders>
            <w:shd w:val="clear" w:color="auto" w:fill="F79646"/>
            <w:vAlign w:val="bottom"/>
          </w:tcPr>
          <w:p w:rsidR="00C47CD5" w:rsidRPr="009C6F78" w:rsidRDefault="009C6F78" w:rsidP="009C6F78">
            <w:pPr>
              <w:widowControl w:val="0"/>
              <w:autoSpaceDE w:val="0"/>
              <w:autoSpaceDN w:val="0"/>
              <w:adjustRightInd w:val="0"/>
              <w:spacing w:after="0" w:line="241" w:lineRule="exact"/>
              <w:jc w:val="right"/>
              <w:rPr>
                <w:rFonts w:asciiTheme="minorHAnsi" w:hAnsiTheme="minorHAnsi"/>
                <w:b/>
              </w:rPr>
            </w:pPr>
            <w:r w:rsidRPr="009C6F78">
              <w:rPr>
                <w:rFonts w:asciiTheme="minorHAnsi" w:hAnsiTheme="minorHAnsi"/>
                <w:b/>
              </w:rPr>
              <w:t xml:space="preserve">    </w:t>
            </w:r>
            <w:r w:rsidR="00C47CD5" w:rsidRPr="009C6F78">
              <w:rPr>
                <w:rFonts w:asciiTheme="minorHAnsi" w:hAnsiTheme="minorHAnsi"/>
                <w:b/>
              </w:rPr>
              <w:t>93,32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9C6F78" w:rsidRDefault="00C47CD5" w:rsidP="00933A35">
            <w:pPr>
              <w:widowControl w:val="0"/>
              <w:autoSpaceDE w:val="0"/>
              <w:autoSpaceDN w:val="0"/>
              <w:adjustRightInd w:val="0"/>
              <w:spacing w:after="0" w:line="240" w:lineRule="auto"/>
              <w:rPr>
                <w:rFonts w:ascii="Times New Roman" w:hAnsi="Times New Roman"/>
                <w:b/>
                <w:sz w:val="21"/>
                <w:szCs w:val="21"/>
              </w:rPr>
            </w:pPr>
          </w:p>
        </w:tc>
        <w:tc>
          <w:tcPr>
            <w:tcW w:w="3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bl>
    <w:p w:rsidR="00C47CD5" w:rsidRDefault="00C47CD5" w:rsidP="00C47CD5">
      <w:pPr>
        <w:widowControl w:val="0"/>
        <w:autoSpaceDE w:val="0"/>
        <w:autoSpaceDN w:val="0"/>
        <w:adjustRightInd w:val="0"/>
        <w:spacing w:after="0" w:line="239" w:lineRule="auto"/>
        <w:ind w:left="40"/>
        <w:rPr>
          <w:rFonts w:ascii="Times New Roman" w:hAnsi="Times New Roman"/>
          <w:sz w:val="24"/>
          <w:szCs w:val="24"/>
        </w:rPr>
      </w:pPr>
    </w:p>
    <w:p w:rsidR="00C47CD5" w:rsidRDefault="00C47CD5" w:rsidP="00C47CD5">
      <w:pPr>
        <w:widowControl w:val="0"/>
        <w:overflowPunct w:val="0"/>
        <w:autoSpaceDE w:val="0"/>
        <w:autoSpaceDN w:val="0"/>
        <w:adjustRightInd w:val="0"/>
        <w:spacing w:after="0" w:line="240" w:lineRule="auto"/>
        <w:ind w:left="40" w:right="180"/>
        <w:jc w:val="both"/>
        <w:rPr>
          <w:rFonts w:ascii="Times New Roman" w:hAnsi="Times New Roman"/>
          <w:sz w:val="24"/>
          <w:szCs w:val="24"/>
        </w:rPr>
      </w:pPr>
      <w:r w:rsidRPr="00C47CD5">
        <w:rPr>
          <w:rFonts w:ascii="Times New Roman" w:hAnsi="Times New Roman"/>
          <w:sz w:val="24"/>
          <w:szCs w:val="24"/>
        </w:rPr>
        <w:t>Najveći udio u poslovnim prihodima, prihodi od pruženih usluga, kao i prethodnih godina zauzima izvršenje radova iz programa redovnog održavanja javnih cesta temeljem ugovora sa Hrvatskim cestama d.o.o. i sa Županijskom upravom za ceste, tj. gotovo 84%.</w:t>
      </w:r>
    </w:p>
    <w:p w:rsidR="002D2F1C" w:rsidRPr="00C47CD5" w:rsidRDefault="002D2F1C" w:rsidP="00C47CD5">
      <w:pPr>
        <w:widowControl w:val="0"/>
        <w:overflowPunct w:val="0"/>
        <w:autoSpaceDE w:val="0"/>
        <w:autoSpaceDN w:val="0"/>
        <w:adjustRightInd w:val="0"/>
        <w:spacing w:after="0" w:line="240" w:lineRule="auto"/>
        <w:ind w:left="40" w:right="180"/>
        <w:jc w:val="both"/>
        <w:rPr>
          <w:rFonts w:ascii="Times New Roman" w:hAnsi="Times New Roman"/>
          <w:sz w:val="24"/>
          <w:szCs w:val="24"/>
        </w:rPr>
      </w:pPr>
      <w:r>
        <w:rPr>
          <w:rFonts w:ascii="Times New Roman" w:hAnsi="Times New Roman"/>
          <w:sz w:val="24"/>
          <w:szCs w:val="24"/>
        </w:rPr>
        <w:t>Međutim, kod prikazanih investitora sa najvećim udjelom u prihodima došlo je i do smanjenja investicija u odnosu na prethodnu godinu, što bi mogli izdvojiti kao potencijalni problem.</w:t>
      </w:r>
    </w:p>
    <w:p w:rsidR="007D0796" w:rsidRDefault="007D0796" w:rsidP="00C47CD5">
      <w:pPr>
        <w:spacing w:line="240" w:lineRule="auto"/>
        <w:jc w:val="both"/>
        <w:rPr>
          <w:rFonts w:ascii="Times New Roman" w:hAnsi="Times New Roman"/>
          <w:sz w:val="24"/>
          <w:szCs w:val="24"/>
        </w:rPr>
      </w:pPr>
    </w:p>
    <w:p w:rsidR="00C47CD5" w:rsidRPr="007A0CDB" w:rsidRDefault="00C47CD5" w:rsidP="00C47CD5">
      <w:pPr>
        <w:widowControl w:val="0"/>
        <w:autoSpaceDE w:val="0"/>
        <w:autoSpaceDN w:val="0"/>
        <w:adjustRightInd w:val="0"/>
        <w:spacing w:after="0" w:line="240" w:lineRule="auto"/>
        <w:ind w:left="40"/>
        <w:rPr>
          <w:rFonts w:ascii="Times New Roman" w:hAnsi="Times New Roman"/>
          <w:b/>
          <w:i/>
          <w:sz w:val="24"/>
          <w:szCs w:val="24"/>
        </w:rPr>
      </w:pPr>
      <w:r w:rsidRPr="007A0CDB">
        <w:rPr>
          <w:rFonts w:cs="Calibri"/>
          <w:b/>
          <w:i/>
          <w:sz w:val="32"/>
          <w:szCs w:val="32"/>
        </w:rPr>
        <w:t>Ostali poslovni prihodi</w:t>
      </w:r>
    </w:p>
    <w:p w:rsidR="00C47CD5" w:rsidRDefault="00C47CD5" w:rsidP="00C47CD5">
      <w:pPr>
        <w:widowControl w:val="0"/>
        <w:autoSpaceDE w:val="0"/>
        <w:autoSpaceDN w:val="0"/>
        <w:adjustRightInd w:val="0"/>
        <w:spacing w:after="0" w:line="376" w:lineRule="exact"/>
        <w:rPr>
          <w:rFonts w:ascii="Times New Roman" w:hAnsi="Times New Roman"/>
          <w:sz w:val="24"/>
          <w:szCs w:val="24"/>
        </w:rPr>
      </w:pPr>
    </w:p>
    <w:p w:rsidR="00C47CD5" w:rsidRPr="00C47CD5" w:rsidRDefault="00C47CD5" w:rsidP="00C47CD5">
      <w:pPr>
        <w:widowControl w:val="0"/>
        <w:overflowPunct w:val="0"/>
        <w:autoSpaceDE w:val="0"/>
        <w:autoSpaceDN w:val="0"/>
        <w:adjustRightInd w:val="0"/>
        <w:spacing w:after="0" w:line="240" w:lineRule="auto"/>
        <w:ind w:left="40" w:right="160"/>
        <w:jc w:val="both"/>
        <w:rPr>
          <w:rFonts w:ascii="Times New Roman" w:hAnsi="Times New Roman"/>
          <w:sz w:val="24"/>
          <w:szCs w:val="24"/>
        </w:rPr>
      </w:pPr>
      <w:r w:rsidRPr="00C47CD5">
        <w:rPr>
          <w:rFonts w:ascii="Times New Roman" w:hAnsi="Times New Roman"/>
          <w:sz w:val="24"/>
          <w:szCs w:val="24"/>
        </w:rPr>
        <w:t>Ostali poslovni prihodi iskazani su u ukupnom iznosu 99 tis. kuna, što je 63% manje nego prethodne godine, a prikazani su u nastavku tablicom 7.</w:t>
      </w:r>
    </w:p>
    <w:p w:rsidR="00C47CD5" w:rsidRDefault="00C47CD5" w:rsidP="00C47CD5">
      <w:pPr>
        <w:widowControl w:val="0"/>
        <w:autoSpaceDE w:val="0"/>
        <w:autoSpaceDN w:val="0"/>
        <w:adjustRightInd w:val="0"/>
        <w:spacing w:after="0" w:line="270" w:lineRule="exact"/>
        <w:rPr>
          <w:rFonts w:ascii="Times New Roman" w:hAnsi="Times New Roman"/>
          <w:sz w:val="24"/>
          <w:szCs w:val="24"/>
        </w:rPr>
      </w:pPr>
    </w:p>
    <w:p w:rsidR="00C47CD5" w:rsidRDefault="00C47CD5" w:rsidP="00C47CD5">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7. Ostali poslovni prihodi u razdoblju 2014.-2015. godine</w:t>
      </w:r>
    </w:p>
    <w:tbl>
      <w:tblPr>
        <w:tblW w:w="0" w:type="auto"/>
        <w:tblInd w:w="10" w:type="dxa"/>
        <w:tblLayout w:type="fixed"/>
        <w:tblCellMar>
          <w:left w:w="0" w:type="dxa"/>
          <w:right w:w="0" w:type="dxa"/>
        </w:tblCellMar>
        <w:tblLook w:val="0000" w:firstRow="0" w:lastRow="0" w:firstColumn="0" w:lastColumn="0" w:noHBand="0" w:noVBand="0"/>
      </w:tblPr>
      <w:tblGrid>
        <w:gridCol w:w="120"/>
        <w:gridCol w:w="800"/>
        <w:gridCol w:w="120"/>
        <w:gridCol w:w="100"/>
        <w:gridCol w:w="2280"/>
        <w:gridCol w:w="120"/>
        <w:gridCol w:w="80"/>
        <w:gridCol w:w="1000"/>
        <w:gridCol w:w="120"/>
        <w:gridCol w:w="100"/>
        <w:gridCol w:w="640"/>
        <w:gridCol w:w="120"/>
        <w:gridCol w:w="100"/>
        <w:gridCol w:w="1040"/>
        <w:gridCol w:w="120"/>
        <w:gridCol w:w="80"/>
        <w:gridCol w:w="640"/>
        <w:gridCol w:w="120"/>
        <w:gridCol w:w="100"/>
        <w:gridCol w:w="1200"/>
        <w:gridCol w:w="120"/>
        <w:gridCol w:w="30"/>
      </w:tblGrid>
      <w:tr w:rsidR="00C47CD5" w:rsidRPr="00481167" w:rsidTr="00933A35">
        <w:trPr>
          <w:trHeight w:val="40"/>
        </w:trPr>
        <w:tc>
          <w:tcPr>
            <w:tcW w:w="120" w:type="dxa"/>
            <w:tcBorders>
              <w:top w:val="single" w:sz="8" w:space="0" w:color="auto"/>
              <w:left w:val="single" w:sz="8" w:space="0" w:color="auto"/>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80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10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228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7" w:lineRule="exact"/>
              <w:ind w:left="880"/>
              <w:rPr>
                <w:rFonts w:ascii="Times New Roman" w:hAnsi="Times New Roman"/>
                <w:sz w:val="24"/>
                <w:szCs w:val="24"/>
              </w:rPr>
            </w:pPr>
            <w:r w:rsidRPr="00481167">
              <w:rPr>
                <w:rFonts w:cs="Calibri"/>
                <w:b/>
                <w:bCs/>
                <w:color w:val="FFFFFF"/>
              </w:rPr>
              <w:t>Naziv</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1220" w:type="dxa"/>
            <w:gridSpan w:val="3"/>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7" w:lineRule="exact"/>
              <w:ind w:right="40"/>
              <w:jc w:val="right"/>
              <w:rPr>
                <w:rFonts w:ascii="Times New Roman" w:hAnsi="Times New Roman"/>
                <w:sz w:val="24"/>
                <w:szCs w:val="24"/>
              </w:rPr>
            </w:pPr>
            <w:r w:rsidRPr="00481167">
              <w:rPr>
                <w:rFonts w:cs="Calibri"/>
                <w:b/>
                <w:bCs/>
                <w:color w:val="FFFFFF"/>
              </w:rPr>
              <w:t>2014.</w:t>
            </w:r>
          </w:p>
        </w:tc>
        <w:tc>
          <w:tcPr>
            <w:tcW w:w="64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10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1240" w:type="dxa"/>
            <w:gridSpan w:val="3"/>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7" w:lineRule="exact"/>
              <w:ind w:right="40"/>
              <w:jc w:val="right"/>
              <w:rPr>
                <w:rFonts w:ascii="Times New Roman" w:hAnsi="Times New Roman"/>
                <w:sz w:val="24"/>
                <w:szCs w:val="24"/>
              </w:rPr>
            </w:pPr>
            <w:r w:rsidRPr="00481167">
              <w:rPr>
                <w:rFonts w:cs="Calibri"/>
                <w:b/>
                <w:bCs/>
                <w:color w:val="FFFFFF"/>
              </w:rPr>
              <w:t>2015.</w:t>
            </w:r>
          </w:p>
        </w:tc>
        <w:tc>
          <w:tcPr>
            <w:tcW w:w="64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10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120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7" w:lineRule="exact"/>
              <w:ind w:right="230"/>
              <w:jc w:val="right"/>
              <w:rPr>
                <w:rFonts w:ascii="Times New Roman" w:hAnsi="Times New Roman"/>
                <w:sz w:val="24"/>
                <w:szCs w:val="24"/>
              </w:rPr>
            </w:pPr>
            <w:r w:rsidRPr="00481167">
              <w:rPr>
                <w:rFonts w:cs="Calibri"/>
                <w:b/>
                <w:bCs/>
                <w:color w:val="FFFFFF"/>
              </w:rPr>
              <w:t>Index</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0" w:lineRule="exact"/>
              <w:rPr>
                <w:rFonts w:ascii="Times New Roman" w:hAnsi="Times New Roman"/>
                <w:sz w:val="2"/>
                <w:szCs w:val="2"/>
              </w:rPr>
            </w:pPr>
          </w:p>
        </w:tc>
      </w:tr>
      <w:tr w:rsidR="00C47CD5" w:rsidRPr="00481167" w:rsidTr="00933A35">
        <w:trPr>
          <w:trHeight w:val="174"/>
        </w:trPr>
        <w:tc>
          <w:tcPr>
            <w:tcW w:w="120" w:type="dxa"/>
            <w:tcBorders>
              <w:top w:val="nil"/>
              <w:left w:val="single" w:sz="8" w:space="0" w:color="auto"/>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800" w:type="dxa"/>
            <w:vMerge/>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2280" w:type="dxa"/>
            <w:vMerge/>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80" w:type="dxa"/>
            <w:vMerge w:val="restart"/>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220" w:type="dxa"/>
            <w:gridSpan w:val="3"/>
            <w:vMerge/>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00" w:type="dxa"/>
            <w:vMerge w:val="restart"/>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240" w:type="dxa"/>
            <w:gridSpan w:val="3"/>
            <w:vMerge/>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640" w:type="dxa"/>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200" w:type="dxa"/>
            <w:vMerge/>
            <w:tcBorders>
              <w:top w:val="nil"/>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158"/>
        </w:trPr>
        <w:tc>
          <w:tcPr>
            <w:tcW w:w="120" w:type="dxa"/>
            <w:tcBorders>
              <w:top w:val="nil"/>
              <w:left w:val="single" w:sz="8" w:space="0" w:color="auto"/>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800" w:type="dxa"/>
            <w:vMerge/>
            <w:tcBorders>
              <w:top w:val="nil"/>
              <w:left w:val="nil"/>
              <w:bottom w:val="single" w:sz="8" w:space="0" w:color="auto"/>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2280" w:type="dxa"/>
            <w:vMerge/>
            <w:tcBorders>
              <w:top w:val="nil"/>
              <w:left w:val="nil"/>
              <w:bottom w:val="single" w:sz="8" w:space="0" w:color="auto"/>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80" w:type="dxa"/>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20" w:type="dxa"/>
            <w:gridSpan w:val="3"/>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64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00" w:type="dxa"/>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40" w:type="dxa"/>
            <w:gridSpan w:val="3"/>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64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00" w:type="dxa"/>
            <w:vMerge/>
            <w:tcBorders>
              <w:top w:val="nil"/>
              <w:left w:val="nil"/>
              <w:bottom w:val="single" w:sz="8" w:space="0" w:color="auto"/>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83"/>
        </w:trPr>
        <w:tc>
          <w:tcPr>
            <w:tcW w:w="120" w:type="dxa"/>
            <w:tcBorders>
              <w:top w:val="single" w:sz="8" w:space="0" w:color="7F7F7F"/>
              <w:left w:val="single" w:sz="8" w:space="0" w:color="auto"/>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800" w:type="dxa"/>
            <w:vMerge/>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20" w:type="dxa"/>
            <w:tcBorders>
              <w:top w:val="single" w:sz="8" w:space="0" w:color="7F7F7F"/>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7F7F7F"/>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2280" w:type="dxa"/>
            <w:vMerge/>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20" w:type="dxa"/>
            <w:tcBorders>
              <w:top w:val="single" w:sz="8" w:space="0" w:color="7F7F7F"/>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8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00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0" w:lineRule="exact"/>
              <w:ind w:right="150"/>
              <w:jc w:val="right"/>
              <w:rPr>
                <w:rFonts w:ascii="Times New Roman" w:hAnsi="Times New Roman"/>
                <w:sz w:val="24"/>
                <w:szCs w:val="24"/>
              </w:rPr>
            </w:pPr>
            <w:r w:rsidRPr="00481167">
              <w:rPr>
                <w:rFonts w:cs="Calibri"/>
                <w:b/>
                <w:bCs/>
                <w:color w:val="FFFFFF"/>
              </w:rPr>
              <w:t>Iznos</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64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0" w:lineRule="exact"/>
              <w:ind w:right="130"/>
              <w:jc w:val="right"/>
              <w:rPr>
                <w:rFonts w:ascii="Times New Roman" w:hAnsi="Times New Roman"/>
                <w:sz w:val="24"/>
                <w:szCs w:val="24"/>
              </w:rPr>
            </w:pPr>
            <w:r w:rsidRPr="00481167">
              <w:rPr>
                <w:rFonts w:cs="Calibri"/>
                <w:b/>
                <w:bCs/>
                <w:color w:val="FFFFFF"/>
              </w:rPr>
              <w:t>%</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04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0" w:lineRule="exact"/>
              <w:ind w:right="190"/>
              <w:jc w:val="right"/>
              <w:rPr>
                <w:rFonts w:ascii="Times New Roman" w:hAnsi="Times New Roman"/>
                <w:sz w:val="24"/>
                <w:szCs w:val="24"/>
              </w:rPr>
            </w:pPr>
            <w:r w:rsidRPr="00481167">
              <w:rPr>
                <w:rFonts w:cs="Calibri"/>
                <w:b/>
                <w:bCs/>
                <w:color w:val="FFFFFF"/>
              </w:rPr>
              <w:t>Iznos</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80" w:type="dxa"/>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640" w:type="dxa"/>
            <w:vMerge w:val="restart"/>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60" w:lineRule="exact"/>
              <w:ind w:right="130"/>
              <w:jc w:val="right"/>
              <w:rPr>
                <w:rFonts w:ascii="Times New Roman" w:hAnsi="Times New Roman"/>
                <w:sz w:val="24"/>
                <w:szCs w:val="24"/>
              </w:rPr>
            </w:pPr>
            <w:r w:rsidRPr="00481167">
              <w:rPr>
                <w:rFonts w:cs="Calibri"/>
                <w:b/>
                <w:bCs/>
                <w:color w:val="FFFFFF"/>
              </w:rPr>
              <w:t>%</w:t>
            </w:r>
          </w:p>
        </w:tc>
        <w:tc>
          <w:tcPr>
            <w:tcW w:w="120" w:type="dxa"/>
            <w:tcBorders>
              <w:top w:val="single" w:sz="8" w:space="0" w:color="auto"/>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7F7F7F"/>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200" w:type="dxa"/>
            <w:vMerge/>
            <w:tcBorders>
              <w:top w:val="single" w:sz="8" w:space="0" w:color="auto"/>
              <w:left w:val="nil"/>
              <w:bottom w:val="nil"/>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120" w:type="dxa"/>
            <w:tcBorders>
              <w:top w:val="single" w:sz="8" w:space="0" w:color="7F7F7F"/>
              <w:left w:val="nil"/>
              <w:bottom w:val="nil"/>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260"/>
        </w:trPr>
        <w:tc>
          <w:tcPr>
            <w:tcW w:w="120" w:type="dxa"/>
            <w:tcBorders>
              <w:top w:val="nil"/>
              <w:left w:val="single" w:sz="8" w:space="0" w:color="auto"/>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8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228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000" w:type="dxa"/>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640" w:type="dxa"/>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040" w:type="dxa"/>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640" w:type="dxa"/>
            <w:vMerge/>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200" w:type="dxa"/>
            <w:tcBorders>
              <w:top w:val="nil"/>
              <w:left w:val="nil"/>
              <w:bottom w:val="single" w:sz="8" w:space="0" w:color="7F7F7F"/>
              <w:right w:val="nil"/>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265"/>
        </w:trPr>
        <w:tc>
          <w:tcPr>
            <w:tcW w:w="120" w:type="dxa"/>
            <w:tcBorders>
              <w:top w:val="single" w:sz="8" w:space="0" w:color="auto"/>
              <w:left w:val="single" w:sz="8" w:space="0" w:color="auto"/>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8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228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ind w:left="1080"/>
              <w:rPr>
                <w:rFonts w:ascii="Times New Roman" w:hAnsi="Times New Roman"/>
                <w:sz w:val="24"/>
                <w:szCs w:val="24"/>
              </w:rPr>
            </w:pPr>
            <w:r w:rsidRPr="00481167">
              <w:rPr>
                <w:rFonts w:cs="Calibri"/>
              </w:rPr>
              <w:t>1</w:t>
            </w: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ind w:right="330"/>
              <w:jc w:val="right"/>
              <w:rPr>
                <w:rFonts w:ascii="Times New Roman" w:hAnsi="Times New Roman"/>
                <w:sz w:val="24"/>
                <w:szCs w:val="24"/>
              </w:rPr>
            </w:pPr>
            <w:r w:rsidRPr="00481167">
              <w:rPr>
                <w:rFonts w:cs="Calibri"/>
              </w:rPr>
              <w:t>2</w:t>
            </w: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64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ind w:right="150"/>
              <w:jc w:val="right"/>
              <w:rPr>
                <w:rFonts w:ascii="Times New Roman" w:hAnsi="Times New Roman"/>
                <w:sz w:val="24"/>
                <w:szCs w:val="24"/>
              </w:rPr>
            </w:pPr>
            <w:r w:rsidRPr="00481167">
              <w:rPr>
                <w:rFonts w:cs="Calibri"/>
              </w:rPr>
              <w:t>3</w:t>
            </w: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4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ind w:right="370"/>
              <w:jc w:val="right"/>
              <w:rPr>
                <w:rFonts w:ascii="Times New Roman" w:hAnsi="Times New Roman"/>
                <w:sz w:val="24"/>
                <w:szCs w:val="24"/>
              </w:rPr>
            </w:pPr>
            <w:r w:rsidRPr="00481167">
              <w:rPr>
                <w:rFonts w:cs="Calibri"/>
              </w:rPr>
              <w:t>4</w:t>
            </w: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64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ind w:right="150"/>
              <w:jc w:val="right"/>
              <w:rPr>
                <w:rFonts w:ascii="Times New Roman" w:hAnsi="Times New Roman"/>
                <w:sz w:val="24"/>
                <w:szCs w:val="24"/>
              </w:rPr>
            </w:pPr>
            <w:r w:rsidRPr="00481167">
              <w:rPr>
                <w:rFonts w:cs="Calibri"/>
              </w:rPr>
              <w:t>5</w:t>
            </w: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200" w:type="dxa"/>
            <w:tcBorders>
              <w:top w:val="single" w:sz="8" w:space="0" w:color="auto"/>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jc w:val="right"/>
              <w:rPr>
                <w:rFonts w:ascii="Times New Roman" w:hAnsi="Times New Roman"/>
                <w:sz w:val="24"/>
                <w:szCs w:val="24"/>
              </w:rPr>
            </w:pPr>
            <w:r w:rsidRPr="00481167">
              <w:rPr>
                <w:rFonts w:cs="Calibri"/>
              </w:rPr>
              <w:t>6(4/2*100)</w:t>
            </w:r>
          </w:p>
        </w:tc>
        <w:tc>
          <w:tcPr>
            <w:tcW w:w="120" w:type="dxa"/>
            <w:tcBorders>
              <w:top w:val="single" w:sz="8" w:space="0" w:color="auto"/>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290"/>
        </w:trPr>
        <w:tc>
          <w:tcPr>
            <w:tcW w:w="920" w:type="dxa"/>
            <w:gridSpan w:val="2"/>
            <w:tcBorders>
              <w:top w:val="nil"/>
              <w:left w:val="single" w:sz="8" w:space="0" w:color="auto"/>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w w:val="95"/>
              </w:rPr>
              <w:t>1.</w:t>
            </w:r>
          </w:p>
        </w:tc>
        <w:tc>
          <w:tcPr>
            <w:tcW w:w="120" w:type="dxa"/>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2400" w:type="dxa"/>
            <w:gridSpan w:val="2"/>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Prodaja stalne imovine</w:t>
            </w:r>
          </w:p>
        </w:tc>
        <w:tc>
          <w:tcPr>
            <w:tcW w:w="1200" w:type="dxa"/>
            <w:gridSpan w:val="3"/>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136.128</w:t>
            </w:r>
          </w:p>
        </w:tc>
        <w:tc>
          <w:tcPr>
            <w:tcW w:w="10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64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jc w:val="right"/>
              <w:rPr>
                <w:rFonts w:asciiTheme="minorHAnsi" w:hAnsiTheme="minorHAnsi"/>
              </w:rPr>
            </w:pPr>
            <w:r w:rsidRPr="00C47CD5">
              <w:rPr>
                <w:rFonts w:asciiTheme="minorHAnsi" w:hAnsiTheme="minorHAnsi" w:cs="Calibri"/>
              </w:rPr>
              <w:t>50,63</w:t>
            </w:r>
          </w:p>
        </w:tc>
        <w:tc>
          <w:tcPr>
            <w:tcW w:w="120" w:type="dxa"/>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260" w:type="dxa"/>
            <w:gridSpan w:val="3"/>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3.284</w:t>
            </w:r>
          </w:p>
        </w:tc>
        <w:tc>
          <w:tcPr>
            <w:tcW w:w="8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760" w:type="dxa"/>
            <w:gridSpan w:val="2"/>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3,28</w:t>
            </w:r>
          </w:p>
        </w:tc>
        <w:tc>
          <w:tcPr>
            <w:tcW w:w="1420" w:type="dxa"/>
            <w:gridSpan w:val="3"/>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2,41</w:t>
            </w: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290"/>
        </w:trPr>
        <w:tc>
          <w:tcPr>
            <w:tcW w:w="920" w:type="dxa"/>
            <w:gridSpan w:val="2"/>
            <w:tcBorders>
              <w:top w:val="nil"/>
              <w:left w:val="single" w:sz="8" w:space="0" w:color="auto"/>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w w:val="95"/>
              </w:rPr>
              <w:t>2.</w:t>
            </w:r>
          </w:p>
        </w:tc>
        <w:tc>
          <w:tcPr>
            <w:tcW w:w="120" w:type="dxa"/>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2400" w:type="dxa"/>
            <w:gridSpan w:val="2"/>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Naplaćene štete i penali</w:t>
            </w:r>
          </w:p>
        </w:tc>
        <w:tc>
          <w:tcPr>
            <w:tcW w:w="1200" w:type="dxa"/>
            <w:gridSpan w:val="3"/>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87.297</w:t>
            </w:r>
          </w:p>
        </w:tc>
        <w:tc>
          <w:tcPr>
            <w:tcW w:w="10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64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jc w:val="right"/>
              <w:rPr>
                <w:rFonts w:asciiTheme="minorHAnsi" w:hAnsiTheme="minorHAnsi"/>
              </w:rPr>
            </w:pPr>
            <w:r w:rsidRPr="00C47CD5">
              <w:rPr>
                <w:rFonts w:asciiTheme="minorHAnsi" w:hAnsiTheme="minorHAnsi" w:cs="Calibri"/>
              </w:rPr>
              <w:t>32,47</w:t>
            </w:r>
          </w:p>
        </w:tc>
        <w:tc>
          <w:tcPr>
            <w:tcW w:w="120" w:type="dxa"/>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260" w:type="dxa"/>
            <w:gridSpan w:val="3"/>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81.365</w:t>
            </w:r>
          </w:p>
        </w:tc>
        <w:tc>
          <w:tcPr>
            <w:tcW w:w="8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760" w:type="dxa"/>
            <w:gridSpan w:val="2"/>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81,42</w:t>
            </w:r>
          </w:p>
        </w:tc>
        <w:tc>
          <w:tcPr>
            <w:tcW w:w="1420" w:type="dxa"/>
            <w:gridSpan w:val="3"/>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93,20</w:t>
            </w: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291"/>
        </w:trPr>
        <w:tc>
          <w:tcPr>
            <w:tcW w:w="920" w:type="dxa"/>
            <w:gridSpan w:val="2"/>
            <w:tcBorders>
              <w:top w:val="nil"/>
              <w:left w:val="single" w:sz="8" w:space="0" w:color="auto"/>
              <w:bottom w:val="single" w:sz="8" w:space="0" w:color="auto"/>
              <w:right w:val="nil"/>
            </w:tcBorders>
            <w:vAlign w:val="bottom"/>
          </w:tcPr>
          <w:p w:rsidR="00C47CD5" w:rsidRPr="00481167" w:rsidRDefault="00C47CD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3.</w:t>
            </w:r>
          </w:p>
        </w:tc>
        <w:tc>
          <w:tcPr>
            <w:tcW w:w="120" w:type="dxa"/>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2400" w:type="dxa"/>
            <w:gridSpan w:val="2"/>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Nespecificirani prihodi</w:t>
            </w:r>
          </w:p>
        </w:tc>
        <w:tc>
          <w:tcPr>
            <w:tcW w:w="1200" w:type="dxa"/>
            <w:gridSpan w:val="3"/>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21.357</w:t>
            </w:r>
          </w:p>
        </w:tc>
        <w:tc>
          <w:tcPr>
            <w:tcW w:w="10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64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67" w:lineRule="exact"/>
              <w:jc w:val="right"/>
              <w:rPr>
                <w:rFonts w:asciiTheme="minorHAnsi" w:hAnsiTheme="minorHAnsi"/>
              </w:rPr>
            </w:pPr>
            <w:r w:rsidRPr="00C47CD5">
              <w:rPr>
                <w:rFonts w:asciiTheme="minorHAnsi" w:hAnsiTheme="minorHAnsi" w:cs="Calibri"/>
              </w:rPr>
              <w:t>7,94</w:t>
            </w:r>
          </w:p>
        </w:tc>
        <w:tc>
          <w:tcPr>
            <w:tcW w:w="120" w:type="dxa"/>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260" w:type="dxa"/>
            <w:gridSpan w:val="3"/>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15.300</w:t>
            </w:r>
          </w:p>
        </w:tc>
        <w:tc>
          <w:tcPr>
            <w:tcW w:w="8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760" w:type="dxa"/>
            <w:gridSpan w:val="2"/>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15,30</w:t>
            </w:r>
          </w:p>
        </w:tc>
        <w:tc>
          <w:tcPr>
            <w:tcW w:w="1420" w:type="dxa"/>
            <w:gridSpan w:val="3"/>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67" w:lineRule="exact"/>
              <w:ind w:right="120"/>
              <w:jc w:val="right"/>
              <w:rPr>
                <w:rFonts w:asciiTheme="minorHAnsi" w:hAnsiTheme="minorHAnsi"/>
              </w:rPr>
            </w:pPr>
            <w:r w:rsidRPr="00C47CD5">
              <w:rPr>
                <w:rFonts w:asciiTheme="minorHAnsi" w:hAnsiTheme="minorHAnsi"/>
              </w:rPr>
              <w:t>71,64</w:t>
            </w: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335"/>
        </w:trPr>
        <w:tc>
          <w:tcPr>
            <w:tcW w:w="920" w:type="dxa"/>
            <w:gridSpan w:val="2"/>
            <w:tcBorders>
              <w:top w:val="nil"/>
              <w:left w:val="single" w:sz="8" w:space="0" w:color="auto"/>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w w:val="95"/>
              </w:rPr>
              <w:t>4.</w:t>
            </w:r>
          </w:p>
        </w:tc>
        <w:tc>
          <w:tcPr>
            <w:tcW w:w="120" w:type="dxa"/>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p>
        </w:tc>
        <w:tc>
          <w:tcPr>
            <w:tcW w:w="2400" w:type="dxa"/>
            <w:gridSpan w:val="2"/>
            <w:tcBorders>
              <w:top w:val="nil"/>
              <w:left w:val="nil"/>
              <w:bottom w:val="single" w:sz="8" w:space="0" w:color="auto"/>
              <w:right w:val="single" w:sz="8" w:space="0" w:color="auto"/>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Otpis obveza</w:t>
            </w:r>
          </w:p>
        </w:tc>
        <w:tc>
          <w:tcPr>
            <w:tcW w:w="1200" w:type="dxa"/>
            <w:gridSpan w:val="3"/>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24.069</w:t>
            </w:r>
          </w:p>
        </w:tc>
        <w:tc>
          <w:tcPr>
            <w:tcW w:w="10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64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jc w:val="right"/>
              <w:rPr>
                <w:rFonts w:asciiTheme="minorHAnsi" w:hAnsiTheme="minorHAnsi"/>
              </w:rPr>
            </w:pPr>
            <w:r w:rsidRPr="00C47CD5">
              <w:rPr>
                <w:rFonts w:asciiTheme="minorHAnsi" w:hAnsiTheme="minorHAnsi" w:cs="Calibri"/>
              </w:rPr>
              <w:t>8,95</w:t>
            </w:r>
          </w:p>
        </w:tc>
        <w:tc>
          <w:tcPr>
            <w:tcW w:w="120" w:type="dxa"/>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260" w:type="dxa"/>
            <w:gridSpan w:val="3"/>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0</w:t>
            </w:r>
          </w:p>
        </w:tc>
        <w:tc>
          <w:tcPr>
            <w:tcW w:w="80" w:type="dxa"/>
            <w:tcBorders>
              <w:top w:val="nil"/>
              <w:left w:val="nil"/>
              <w:bottom w:val="single" w:sz="8" w:space="0" w:color="auto"/>
              <w:right w:val="nil"/>
            </w:tcBorders>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760" w:type="dxa"/>
            <w:gridSpan w:val="2"/>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0</w:t>
            </w:r>
          </w:p>
        </w:tc>
        <w:tc>
          <w:tcPr>
            <w:tcW w:w="1420" w:type="dxa"/>
            <w:gridSpan w:val="3"/>
            <w:tcBorders>
              <w:top w:val="nil"/>
              <w:left w:val="nil"/>
              <w:bottom w:val="single" w:sz="8" w:space="0" w:color="auto"/>
              <w:right w:val="single" w:sz="8" w:space="0" w:color="auto"/>
            </w:tcBorders>
            <w:vAlign w:val="bottom"/>
          </w:tcPr>
          <w:p w:rsidR="00C47CD5" w:rsidRPr="00C47CD5" w:rsidRDefault="00C47CD5" w:rsidP="00933A35">
            <w:pPr>
              <w:widowControl w:val="0"/>
              <w:autoSpaceDE w:val="0"/>
              <w:autoSpaceDN w:val="0"/>
              <w:adjustRightInd w:val="0"/>
              <w:spacing w:after="0" w:line="240" w:lineRule="auto"/>
              <w:ind w:right="120"/>
              <w:jc w:val="right"/>
              <w:rPr>
                <w:rFonts w:asciiTheme="minorHAnsi" w:hAnsiTheme="minorHAnsi"/>
              </w:rPr>
            </w:pPr>
            <w:r w:rsidRPr="00C47CD5">
              <w:rPr>
                <w:rFonts w:asciiTheme="minorHAnsi" w:hAnsiTheme="minorHAnsi"/>
              </w:rPr>
              <w:t>/</w:t>
            </w: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r w:rsidR="00C47CD5" w:rsidRPr="00481167" w:rsidTr="00933A35">
        <w:trPr>
          <w:trHeight w:val="265"/>
        </w:trPr>
        <w:tc>
          <w:tcPr>
            <w:tcW w:w="120" w:type="dxa"/>
            <w:tcBorders>
              <w:top w:val="single" w:sz="8" w:space="0" w:color="F79646"/>
              <w:left w:val="single" w:sz="8" w:space="0" w:color="auto"/>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800" w:type="dxa"/>
            <w:tcBorders>
              <w:top w:val="single" w:sz="8" w:space="0" w:color="F79646"/>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F79646"/>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2280" w:type="dxa"/>
            <w:tcBorders>
              <w:top w:val="single" w:sz="8" w:space="0" w:color="F79646"/>
              <w:left w:val="nil"/>
              <w:bottom w:val="single" w:sz="8" w:space="0" w:color="auto"/>
              <w:right w:val="nil"/>
            </w:tcBorders>
            <w:shd w:val="clear" w:color="auto" w:fill="F79646"/>
            <w:vAlign w:val="bottom"/>
          </w:tcPr>
          <w:p w:rsidR="00C47CD5" w:rsidRPr="00481167" w:rsidRDefault="00C47CD5" w:rsidP="00933A35">
            <w:pPr>
              <w:widowControl w:val="0"/>
              <w:autoSpaceDE w:val="0"/>
              <w:autoSpaceDN w:val="0"/>
              <w:adjustRightInd w:val="0"/>
              <w:spacing w:after="0" w:line="260" w:lineRule="exact"/>
              <w:rPr>
                <w:rFonts w:ascii="Times New Roman" w:hAnsi="Times New Roman"/>
                <w:sz w:val="24"/>
                <w:szCs w:val="24"/>
              </w:rPr>
            </w:pPr>
            <w:r w:rsidRPr="00481167">
              <w:rPr>
                <w:rFonts w:cs="Calibri"/>
                <w:b/>
                <w:bCs/>
              </w:rPr>
              <w:t>UKUPNO</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F79646"/>
              <w:left w:val="nil"/>
              <w:bottom w:val="single" w:sz="8" w:space="0" w:color="auto"/>
              <w:right w:val="nil"/>
            </w:tcBorders>
            <w:shd w:val="clear" w:color="auto" w:fill="F79646"/>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000" w:type="dxa"/>
            <w:tcBorders>
              <w:top w:val="single" w:sz="8" w:space="0" w:color="F79646"/>
              <w:left w:val="nil"/>
              <w:bottom w:val="single" w:sz="8" w:space="0" w:color="auto"/>
              <w:right w:val="nil"/>
            </w:tcBorders>
            <w:shd w:val="clear" w:color="auto" w:fill="F79646"/>
            <w:vAlign w:val="bottom"/>
          </w:tcPr>
          <w:p w:rsidR="00C47CD5" w:rsidRPr="00C47CD5" w:rsidRDefault="00C47CD5" w:rsidP="00933A35">
            <w:pPr>
              <w:widowControl w:val="0"/>
              <w:autoSpaceDE w:val="0"/>
              <w:autoSpaceDN w:val="0"/>
              <w:adjustRightInd w:val="0"/>
              <w:spacing w:after="0" w:line="260" w:lineRule="exact"/>
              <w:jc w:val="right"/>
              <w:rPr>
                <w:rFonts w:asciiTheme="minorHAnsi" w:hAnsiTheme="minorHAnsi"/>
                <w:b/>
              </w:rPr>
            </w:pPr>
            <w:r w:rsidRPr="00C47CD5">
              <w:rPr>
                <w:rFonts w:asciiTheme="minorHAnsi" w:hAnsiTheme="minorHAnsi"/>
                <w:b/>
              </w:rPr>
              <w:t>268.851</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640" w:type="dxa"/>
            <w:tcBorders>
              <w:top w:val="single" w:sz="8" w:space="0" w:color="F79646"/>
              <w:left w:val="nil"/>
              <w:bottom w:val="single" w:sz="8" w:space="0" w:color="auto"/>
              <w:right w:val="nil"/>
            </w:tcBorders>
            <w:shd w:val="clear" w:color="auto" w:fill="F79646"/>
            <w:vAlign w:val="bottom"/>
          </w:tcPr>
          <w:p w:rsidR="00C47CD5" w:rsidRPr="00C47CD5" w:rsidRDefault="00C47CD5" w:rsidP="00933A35">
            <w:pPr>
              <w:widowControl w:val="0"/>
              <w:autoSpaceDE w:val="0"/>
              <w:autoSpaceDN w:val="0"/>
              <w:adjustRightInd w:val="0"/>
              <w:spacing w:after="0" w:line="260" w:lineRule="exact"/>
              <w:jc w:val="right"/>
              <w:rPr>
                <w:rFonts w:asciiTheme="minorHAnsi" w:hAnsiTheme="minorHAnsi"/>
              </w:rPr>
            </w:pPr>
            <w:r w:rsidRPr="00C47CD5">
              <w:rPr>
                <w:rFonts w:asciiTheme="minorHAnsi" w:hAnsiTheme="minorHAnsi" w:cs="Calibri"/>
                <w:b/>
                <w:bCs/>
              </w:rPr>
              <w:t>100,00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040" w:type="dxa"/>
            <w:tcBorders>
              <w:top w:val="single" w:sz="8" w:space="0" w:color="F79646"/>
              <w:left w:val="nil"/>
              <w:bottom w:val="single" w:sz="8" w:space="0" w:color="auto"/>
              <w:right w:val="nil"/>
            </w:tcBorders>
            <w:shd w:val="clear" w:color="auto" w:fill="F79646"/>
            <w:vAlign w:val="bottom"/>
          </w:tcPr>
          <w:p w:rsidR="00C47CD5" w:rsidRPr="00C47CD5" w:rsidRDefault="00C47CD5" w:rsidP="00933A35">
            <w:pPr>
              <w:widowControl w:val="0"/>
              <w:autoSpaceDE w:val="0"/>
              <w:autoSpaceDN w:val="0"/>
              <w:adjustRightInd w:val="0"/>
              <w:spacing w:after="0" w:line="260" w:lineRule="exact"/>
              <w:jc w:val="right"/>
              <w:rPr>
                <w:rFonts w:asciiTheme="minorHAnsi" w:hAnsiTheme="minorHAnsi"/>
                <w:b/>
              </w:rPr>
            </w:pPr>
            <w:r w:rsidRPr="00C47CD5">
              <w:rPr>
                <w:rFonts w:asciiTheme="minorHAnsi" w:hAnsiTheme="minorHAnsi"/>
                <w:b/>
              </w:rPr>
              <w:t>99.949</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80" w:type="dxa"/>
            <w:tcBorders>
              <w:top w:val="single" w:sz="8" w:space="0" w:color="F79646"/>
              <w:left w:val="nil"/>
              <w:bottom w:val="single" w:sz="8" w:space="0" w:color="auto"/>
              <w:right w:val="nil"/>
            </w:tcBorders>
            <w:shd w:val="clear" w:color="auto" w:fill="F79646"/>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640" w:type="dxa"/>
            <w:tcBorders>
              <w:top w:val="single" w:sz="8" w:space="0" w:color="F79646"/>
              <w:left w:val="nil"/>
              <w:bottom w:val="single" w:sz="8" w:space="0" w:color="auto"/>
              <w:right w:val="nil"/>
            </w:tcBorders>
            <w:shd w:val="clear" w:color="auto" w:fill="F79646"/>
            <w:vAlign w:val="bottom"/>
          </w:tcPr>
          <w:p w:rsidR="00C47CD5" w:rsidRPr="00C47CD5" w:rsidRDefault="00C47CD5" w:rsidP="00933A35">
            <w:pPr>
              <w:widowControl w:val="0"/>
              <w:autoSpaceDE w:val="0"/>
              <w:autoSpaceDN w:val="0"/>
              <w:adjustRightInd w:val="0"/>
              <w:spacing w:after="0" w:line="260" w:lineRule="exact"/>
              <w:jc w:val="right"/>
              <w:rPr>
                <w:rFonts w:asciiTheme="minorHAnsi" w:hAnsiTheme="minorHAnsi"/>
              </w:rPr>
            </w:pPr>
            <w:r w:rsidRPr="00C47CD5">
              <w:rPr>
                <w:rFonts w:asciiTheme="minorHAnsi" w:hAnsiTheme="minorHAnsi" w:cs="Calibri"/>
                <w:b/>
                <w:bCs/>
              </w:rPr>
              <w:t>100,00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C47CD5" w:rsidRPr="00C47CD5" w:rsidRDefault="00C47CD5" w:rsidP="00933A35">
            <w:pPr>
              <w:widowControl w:val="0"/>
              <w:autoSpaceDE w:val="0"/>
              <w:autoSpaceDN w:val="0"/>
              <w:adjustRightInd w:val="0"/>
              <w:spacing w:after="0" w:line="240" w:lineRule="auto"/>
              <w:rPr>
                <w:rFonts w:asciiTheme="minorHAnsi" w:hAnsiTheme="minorHAnsi"/>
              </w:rPr>
            </w:pPr>
          </w:p>
        </w:tc>
        <w:tc>
          <w:tcPr>
            <w:tcW w:w="1200" w:type="dxa"/>
            <w:tcBorders>
              <w:top w:val="single" w:sz="8" w:space="0" w:color="F79646"/>
              <w:left w:val="nil"/>
              <w:bottom w:val="single" w:sz="8" w:space="0" w:color="auto"/>
              <w:right w:val="nil"/>
            </w:tcBorders>
            <w:shd w:val="clear" w:color="auto" w:fill="F79646"/>
            <w:vAlign w:val="bottom"/>
          </w:tcPr>
          <w:p w:rsidR="00C47CD5" w:rsidRPr="00C47CD5" w:rsidRDefault="00C47CD5" w:rsidP="00933A35">
            <w:pPr>
              <w:widowControl w:val="0"/>
              <w:autoSpaceDE w:val="0"/>
              <w:autoSpaceDN w:val="0"/>
              <w:adjustRightInd w:val="0"/>
              <w:spacing w:after="0" w:line="260" w:lineRule="exact"/>
              <w:jc w:val="right"/>
              <w:rPr>
                <w:rFonts w:asciiTheme="minorHAnsi" w:hAnsiTheme="minorHAnsi"/>
                <w:b/>
              </w:rPr>
            </w:pPr>
            <w:r w:rsidRPr="00C47CD5">
              <w:rPr>
                <w:rFonts w:asciiTheme="minorHAnsi" w:hAnsiTheme="minorHAnsi"/>
                <w:b/>
              </w:rPr>
              <w:t>37,18</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C47CD5" w:rsidRPr="00481167" w:rsidRDefault="00C47CD5" w:rsidP="00933A35">
            <w:pPr>
              <w:widowControl w:val="0"/>
              <w:autoSpaceDE w:val="0"/>
              <w:autoSpaceDN w:val="0"/>
              <w:adjustRightInd w:val="0"/>
              <w:spacing w:after="0" w:line="240" w:lineRule="auto"/>
              <w:rPr>
                <w:rFonts w:ascii="Times New Roman" w:hAnsi="Times New Roman"/>
                <w:sz w:val="2"/>
                <w:szCs w:val="2"/>
              </w:rPr>
            </w:pPr>
          </w:p>
        </w:tc>
      </w:tr>
    </w:tbl>
    <w:p w:rsidR="007A0CDB" w:rsidRDefault="007A0CDB" w:rsidP="009C6F78">
      <w:pPr>
        <w:widowControl w:val="0"/>
        <w:overflowPunct w:val="0"/>
        <w:autoSpaceDE w:val="0"/>
        <w:autoSpaceDN w:val="0"/>
        <w:adjustRightInd w:val="0"/>
        <w:spacing w:after="0" w:line="240" w:lineRule="auto"/>
        <w:ind w:right="20"/>
        <w:jc w:val="both"/>
        <w:rPr>
          <w:rFonts w:ascii="Times New Roman" w:hAnsi="Times New Roman"/>
          <w:sz w:val="24"/>
          <w:szCs w:val="24"/>
        </w:rPr>
      </w:pPr>
    </w:p>
    <w:p w:rsidR="007A0CDB" w:rsidRDefault="007A0CDB" w:rsidP="009C6F78">
      <w:pPr>
        <w:widowControl w:val="0"/>
        <w:overflowPunct w:val="0"/>
        <w:autoSpaceDE w:val="0"/>
        <w:autoSpaceDN w:val="0"/>
        <w:adjustRightInd w:val="0"/>
        <w:spacing w:after="0" w:line="240" w:lineRule="auto"/>
        <w:ind w:right="20"/>
        <w:jc w:val="both"/>
        <w:rPr>
          <w:rFonts w:ascii="Times New Roman" w:hAnsi="Times New Roman"/>
          <w:sz w:val="24"/>
          <w:szCs w:val="24"/>
        </w:rPr>
      </w:pPr>
    </w:p>
    <w:p w:rsidR="00C47CD5" w:rsidRPr="00C47CD5" w:rsidRDefault="00C47CD5" w:rsidP="009C6F78">
      <w:pPr>
        <w:widowControl w:val="0"/>
        <w:overflowPunct w:val="0"/>
        <w:autoSpaceDE w:val="0"/>
        <w:autoSpaceDN w:val="0"/>
        <w:adjustRightInd w:val="0"/>
        <w:spacing w:after="0" w:line="240" w:lineRule="auto"/>
        <w:ind w:right="20"/>
        <w:jc w:val="both"/>
        <w:rPr>
          <w:rFonts w:ascii="Times New Roman" w:hAnsi="Times New Roman"/>
          <w:sz w:val="24"/>
          <w:szCs w:val="24"/>
        </w:rPr>
      </w:pPr>
      <w:r w:rsidRPr="00C47CD5">
        <w:rPr>
          <w:rFonts w:ascii="Times New Roman" w:hAnsi="Times New Roman"/>
          <w:sz w:val="24"/>
          <w:szCs w:val="24"/>
        </w:rPr>
        <w:t>Prodaja stalne imovine, kao stavka sa na</w:t>
      </w:r>
      <w:r w:rsidR="002D2F1C">
        <w:rPr>
          <w:rFonts w:ascii="Times New Roman" w:hAnsi="Times New Roman"/>
          <w:sz w:val="24"/>
          <w:szCs w:val="24"/>
        </w:rPr>
        <w:t>jm</w:t>
      </w:r>
      <w:r w:rsidRPr="00C47CD5">
        <w:rPr>
          <w:rFonts w:ascii="Times New Roman" w:hAnsi="Times New Roman"/>
          <w:sz w:val="24"/>
          <w:szCs w:val="24"/>
        </w:rPr>
        <w:t>anjim udjelom u ostalim prihodima odnosi se na prodaju neiskoristivih transportnih sredstava koja je izvršena u 2015.godini. Naplaćene štete i penali su u 2015.godini manji za 6,8% u odnosu na godinu prije, a to se ponajprije odnosi na prihode od uplate štete s temelja osiguranja.</w:t>
      </w:r>
    </w:p>
    <w:p w:rsidR="00C47CD5" w:rsidRPr="00C47CD5" w:rsidRDefault="00C47CD5" w:rsidP="00C47CD5">
      <w:pPr>
        <w:widowControl w:val="0"/>
        <w:autoSpaceDE w:val="0"/>
        <w:autoSpaceDN w:val="0"/>
        <w:adjustRightInd w:val="0"/>
        <w:spacing w:after="0" w:line="240" w:lineRule="auto"/>
        <w:jc w:val="both"/>
        <w:rPr>
          <w:rFonts w:ascii="Times New Roman" w:hAnsi="Times New Roman"/>
          <w:sz w:val="24"/>
          <w:szCs w:val="24"/>
        </w:rPr>
      </w:pPr>
    </w:p>
    <w:p w:rsidR="00C47CD5" w:rsidRPr="00C47CD5" w:rsidRDefault="00C47CD5" w:rsidP="00C47CD5">
      <w:pPr>
        <w:widowControl w:val="0"/>
        <w:overflowPunct w:val="0"/>
        <w:autoSpaceDE w:val="0"/>
        <w:autoSpaceDN w:val="0"/>
        <w:adjustRightInd w:val="0"/>
        <w:spacing w:after="0" w:line="240" w:lineRule="auto"/>
        <w:ind w:left="40"/>
        <w:jc w:val="both"/>
        <w:rPr>
          <w:rFonts w:ascii="Times New Roman" w:hAnsi="Times New Roman"/>
          <w:sz w:val="24"/>
          <w:szCs w:val="24"/>
        </w:rPr>
      </w:pPr>
      <w:r w:rsidRPr="00C47CD5">
        <w:rPr>
          <w:rFonts w:ascii="Times New Roman" w:hAnsi="Times New Roman"/>
          <w:sz w:val="24"/>
          <w:szCs w:val="24"/>
        </w:rPr>
        <w:t>Nespecificirani prihodi se odnose na najmove stanova i plaću u naravi,a smanjili su se za 6 tis. kuna usporedno sa 2014. Prihodi koje je Društvo ostvarilo otpisom obveza u 2014.su iznosili 24 tis.kuna dok u 2015.godini takve prihode nismo ostvarili.</w:t>
      </w:r>
    </w:p>
    <w:p w:rsidR="00C47CD5" w:rsidRDefault="00C47CD5" w:rsidP="00C47CD5">
      <w:pPr>
        <w:widowControl w:val="0"/>
        <w:autoSpaceDE w:val="0"/>
        <w:autoSpaceDN w:val="0"/>
        <w:adjustRightInd w:val="0"/>
        <w:spacing w:after="0" w:line="200" w:lineRule="exact"/>
        <w:rPr>
          <w:rFonts w:ascii="Times New Roman" w:hAnsi="Times New Roman"/>
          <w:sz w:val="24"/>
          <w:szCs w:val="24"/>
        </w:rPr>
      </w:pPr>
    </w:p>
    <w:p w:rsidR="00C47CD5" w:rsidRDefault="00C47CD5" w:rsidP="00C47CD5">
      <w:pPr>
        <w:widowControl w:val="0"/>
        <w:autoSpaceDE w:val="0"/>
        <w:autoSpaceDN w:val="0"/>
        <w:adjustRightInd w:val="0"/>
        <w:spacing w:after="0" w:line="200" w:lineRule="exact"/>
        <w:rPr>
          <w:rFonts w:ascii="Times New Roman" w:hAnsi="Times New Roman"/>
          <w:sz w:val="24"/>
          <w:szCs w:val="24"/>
        </w:rPr>
      </w:pPr>
    </w:p>
    <w:p w:rsidR="00C47CD5" w:rsidRDefault="00C47CD5" w:rsidP="00C47CD5">
      <w:pPr>
        <w:widowControl w:val="0"/>
        <w:autoSpaceDE w:val="0"/>
        <w:autoSpaceDN w:val="0"/>
        <w:adjustRightInd w:val="0"/>
        <w:spacing w:after="0" w:line="206" w:lineRule="exact"/>
        <w:rPr>
          <w:rFonts w:ascii="Times New Roman" w:hAnsi="Times New Roman"/>
          <w:sz w:val="24"/>
          <w:szCs w:val="24"/>
        </w:rPr>
      </w:pPr>
    </w:p>
    <w:p w:rsidR="00C47CD5" w:rsidRDefault="00C47CD5" w:rsidP="00C47CD5">
      <w:pPr>
        <w:widowControl w:val="0"/>
        <w:autoSpaceDE w:val="0"/>
        <w:autoSpaceDN w:val="0"/>
        <w:adjustRightInd w:val="0"/>
        <w:spacing w:after="0" w:line="240" w:lineRule="auto"/>
        <w:ind w:left="40"/>
        <w:rPr>
          <w:rFonts w:ascii="Times New Roman" w:hAnsi="Times New Roman"/>
          <w:sz w:val="24"/>
          <w:szCs w:val="24"/>
        </w:rPr>
      </w:pPr>
      <w:r>
        <w:rPr>
          <w:rFonts w:cs="Calibri"/>
          <w:b/>
          <w:bCs/>
          <w:sz w:val="32"/>
          <w:szCs w:val="32"/>
        </w:rPr>
        <w:t>2.2. Poslovni rashodi</w:t>
      </w:r>
    </w:p>
    <w:p w:rsidR="00C47CD5" w:rsidRDefault="00C47CD5" w:rsidP="00C47CD5">
      <w:pPr>
        <w:widowControl w:val="0"/>
        <w:autoSpaceDE w:val="0"/>
        <w:autoSpaceDN w:val="0"/>
        <w:adjustRightInd w:val="0"/>
        <w:spacing w:after="0" w:line="200" w:lineRule="exact"/>
        <w:rPr>
          <w:rFonts w:ascii="Times New Roman" w:hAnsi="Times New Roman"/>
          <w:sz w:val="24"/>
          <w:szCs w:val="24"/>
        </w:rPr>
      </w:pPr>
    </w:p>
    <w:p w:rsidR="00C47CD5" w:rsidRDefault="00C47CD5" w:rsidP="00C47CD5">
      <w:pPr>
        <w:widowControl w:val="0"/>
        <w:autoSpaceDE w:val="0"/>
        <w:autoSpaceDN w:val="0"/>
        <w:adjustRightInd w:val="0"/>
        <w:spacing w:after="0" w:line="226" w:lineRule="exact"/>
        <w:rPr>
          <w:rFonts w:ascii="Times New Roman" w:hAnsi="Times New Roman"/>
          <w:sz w:val="24"/>
          <w:szCs w:val="24"/>
        </w:rPr>
      </w:pPr>
    </w:p>
    <w:p w:rsidR="00C47CD5" w:rsidRPr="00C47CD5" w:rsidRDefault="00C47CD5" w:rsidP="00C47CD5">
      <w:pPr>
        <w:widowControl w:val="0"/>
        <w:overflowPunct w:val="0"/>
        <w:autoSpaceDE w:val="0"/>
        <w:autoSpaceDN w:val="0"/>
        <w:adjustRightInd w:val="0"/>
        <w:spacing w:after="0" w:line="240" w:lineRule="auto"/>
        <w:ind w:left="40"/>
        <w:jc w:val="both"/>
        <w:rPr>
          <w:rFonts w:ascii="Times New Roman" w:hAnsi="Times New Roman"/>
          <w:sz w:val="24"/>
          <w:szCs w:val="24"/>
        </w:rPr>
      </w:pPr>
      <w:r w:rsidRPr="00C47CD5">
        <w:rPr>
          <w:rFonts w:ascii="Times New Roman" w:hAnsi="Times New Roman"/>
          <w:sz w:val="24"/>
          <w:szCs w:val="24"/>
        </w:rPr>
        <w:t>Poslovni rashodi su u 2015.god. iznosili 50 mil. kuna što je 7,58% manje u odnosu na godinu prije. Prikaz takvih rashoda vidljiv je u tablici 8. u nastavku.</w:t>
      </w:r>
    </w:p>
    <w:p w:rsidR="00C47CD5" w:rsidRPr="00C47CD5" w:rsidRDefault="00C47CD5" w:rsidP="00C47CD5">
      <w:pPr>
        <w:widowControl w:val="0"/>
        <w:autoSpaceDE w:val="0"/>
        <w:autoSpaceDN w:val="0"/>
        <w:adjustRightInd w:val="0"/>
        <w:spacing w:after="0" w:line="240" w:lineRule="auto"/>
        <w:jc w:val="both"/>
        <w:rPr>
          <w:rFonts w:ascii="Times New Roman" w:hAnsi="Times New Roman"/>
          <w:sz w:val="24"/>
          <w:szCs w:val="24"/>
        </w:rPr>
      </w:pPr>
    </w:p>
    <w:p w:rsidR="00C47CD5" w:rsidRDefault="00C47CD5" w:rsidP="00C47CD5">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8. Struktura poslovnih rashoda u razdoblju od 2014.-2015. god.</w:t>
      </w:r>
    </w:p>
    <w:tbl>
      <w:tblPr>
        <w:tblW w:w="0" w:type="auto"/>
        <w:tblInd w:w="10" w:type="dxa"/>
        <w:tblLayout w:type="fixed"/>
        <w:tblCellMar>
          <w:left w:w="0" w:type="dxa"/>
          <w:right w:w="0" w:type="dxa"/>
        </w:tblCellMar>
        <w:tblLook w:val="0000" w:firstRow="0" w:lastRow="0" w:firstColumn="0" w:lastColumn="0" w:noHBand="0" w:noVBand="0"/>
      </w:tblPr>
      <w:tblGrid>
        <w:gridCol w:w="120"/>
        <w:gridCol w:w="740"/>
        <w:gridCol w:w="120"/>
        <w:gridCol w:w="80"/>
        <w:gridCol w:w="2220"/>
        <w:gridCol w:w="120"/>
        <w:gridCol w:w="80"/>
        <w:gridCol w:w="1040"/>
        <w:gridCol w:w="120"/>
        <w:gridCol w:w="100"/>
        <w:gridCol w:w="720"/>
        <w:gridCol w:w="120"/>
        <w:gridCol w:w="100"/>
        <w:gridCol w:w="1200"/>
        <w:gridCol w:w="120"/>
        <w:gridCol w:w="100"/>
        <w:gridCol w:w="620"/>
        <w:gridCol w:w="140"/>
        <w:gridCol w:w="80"/>
        <w:gridCol w:w="1060"/>
        <w:gridCol w:w="120"/>
        <w:gridCol w:w="30"/>
      </w:tblGrid>
      <w:tr w:rsidR="00824B2A" w:rsidRPr="00481167" w:rsidTr="00933A35">
        <w:trPr>
          <w:trHeight w:val="40"/>
        </w:trPr>
        <w:tc>
          <w:tcPr>
            <w:tcW w:w="120" w:type="dxa"/>
            <w:tcBorders>
              <w:top w:val="single" w:sz="8" w:space="0" w:color="auto"/>
              <w:left w:val="single" w:sz="8" w:space="0" w:color="auto"/>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74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w w:val="98"/>
              </w:rPr>
              <w:t>Red.br.</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222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ind w:left="860"/>
              <w:rPr>
                <w:rFonts w:ascii="Times New Roman" w:hAnsi="Times New Roman"/>
                <w:sz w:val="24"/>
                <w:szCs w:val="24"/>
              </w:rPr>
            </w:pPr>
            <w:r w:rsidRPr="00481167">
              <w:rPr>
                <w:rFonts w:cs="Calibri"/>
                <w:b/>
                <w:bCs/>
                <w:color w:val="FFFFFF"/>
              </w:rPr>
              <w:t>Naziv</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1260" w:type="dxa"/>
            <w:gridSpan w:val="3"/>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ind w:right="20"/>
              <w:jc w:val="right"/>
              <w:rPr>
                <w:rFonts w:ascii="Times New Roman" w:hAnsi="Times New Roman"/>
                <w:sz w:val="24"/>
                <w:szCs w:val="24"/>
              </w:rPr>
            </w:pPr>
            <w:r w:rsidRPr="00481167">
              <w:rPr>
                <w:rFonts w:cs="Calibri"/>
                <w:b/>
                <w:bCs/>
                <w:color w:val="FFFFFF"/>
              </w:rPr>
              <w:t>2014.</w:t>
            </w:r>
          </w:p>
        </w:tc>
        <w:tc>
          <w:tcPr>
            <w:tcW w:w="72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1320" w:type="dxa"/>
            <w:gridSpan w:val="2"/>
            <w:vMerge w:val="restart"/>
            <w:tcBorders>
              <w:top w:val="single" w:sz="8" w:space="0" w:color="auto"/>
              <w:left w:val="nil"/>
              <w:bottom w:val="nil"/>
              <w:right w:val="single" w:sz="8" w:space="0" w:color="7F7F7F"/>
            </w:tcBorders>
            <w:shd w:val="clear" w:color="auto" w:fill="7F7F7F"/>
            <w:vAlign w:val="bottom"/>
          </w:tcPr>
          <w:p w:rsidR="00824B2A" w:rsidRPr="00481167" w:rsidRDefault="00824B2A" w:rsidP="00933A35">
            <w:pPr>
              <w:widowControl w:val="0"/>
              <w:autoSpaceDE w:val="0"/>
              <w:autoSpaceDN w:val="0"/>
              <w:adjustRightInd w:val="0"/>
              <w:spacing w:after="0" w:line="240" w:lineRule="auto"/>
              <w:ind w:right="40"/>
              <w:jc w:val="right"/>
              <w:rPr>
                <w:rFonts w:ascii="Times New Roman" w:hAnsi="Times New Roman"/>
                <w:sz w:val="24"/>
                <w:szCs w:val="24"/>
              </w:rPr>
            </w:pPr>
            <w:r w:rsidRPr="00481167">
              <w:rPr>
                <w:rFonts w:cs="Calibri"/>
                <w:b/>
                <w:bCs/>
                <w:color w:val="FFFFFF"/>
              </w:rPr>
              <w:t>2015.</w:t>
            </w: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62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14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106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ind w:left="240"/>
              <w:rPr>
                <w:rFonts w:ascii="Times New Roman" w:hAnsi="Times New Roman"/>
                <w:sz w:val="24"/>
                <w:szCs w:val="24"/>
              </w:rPr>
            </w:pPr>
            <w:r w:rsidRPr="00481167">
              <w:rPr>
                <w:rFonts w:cs="Calibri"/>
                <w:b/>
                <w:bCs/>
                <w:color w:val="FFFFFF"/>
              </w:rPr>
              <w:t>Indeks</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0" w:lineRule="exact"/>
              <w:rPr>
                <w:rFonts w:ascii="Times New Roman" w:hAnsi="Times New Roman"/>
                <w:sz w:val="2"/>
                <w:szCs w:val="2"/>
              </w:rPr>
            </w:pPr>
          </w:p>
        </w:tc>
      </w:tr>
      <w:tr w:rsidR="00824B2A" w:rsidRPr="00481167" w:rsidTr="00933A35">
        <w:trPr>
          <w:trHeight w:val="174"/>
        </w:trPr>
        <w:tc>
          <w:tcPr>
            <w:tcW w:w="120" w:type="dxa"/>
            <w:tcBorders>
              <w:top w:val="nil"/>
              <w:left w:val="single" w:sz="8" w:space="0" w:color="auto"/>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74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222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80" w:type="dxa"/>
            <w:vMerge w:val="restart"/>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260" w:type="dxa"/>
            <w:gridSpan w:val="3"/>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72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00" w:type="dxa"/>
            <w:vMerge w:val="restart"/>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320" w:type="dxa"/>
            <w:gridSpan w:val="2"/>
            <w:vMerge/>
            <w:tcBorders>
              <w:top w:val="nil"/>
              <w:left w:val="nil"/>
              <w:bottom w:val="nil"/>
              <w:right w:val="single" w:sz="8" w:space="0" w:color="7F7F7F"/>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4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06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158"/>
        </w:trPr>
        <w:tc>
          <w:tcPr>
            <w:tcW w:w="120" w:type="dxa"/>
            <w:tcBorders>
              <w:top w:val="nil"/>
              <w:left w:val="single" w:sz="8" w:space="0" w:color="auto"/>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740" w:type="dxa"/>
            <w:vMerge/>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8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2220" w:type="dxa"/>
            <w:vMerge/>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80" w:type="dxa"/>
            <w:vMerge/>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260" w:type="dxa"/>
            <w:gridSpan w:val="3"/>
            <w:vMerge/>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72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00" w:type="dxa"/>
            <w:vMerge/>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320" w:type="dxa"/>
            <w:gridSpan w:val="2"/>
            <w:vMerge/>
            <w:tcBorders>
              <w:top w:val="nil"/>
              <w:left w:val="nil"/>
              <w:bottom w:val="single" w:sz="8" w:space="0" w:color="7F7F7F"/>
              <w:right w:val="single" w:sz="8" w:space="0" w:color="7F7F7F"/>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62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4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8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060" w:type="dxa"/>
            <w:vMerge/>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91"/>
        </w:trPr>
        <w:tc>
          <w:tcPr>
            <w:tcW w:w="120" w:type="dxa"/>
            <w:tcBorders>
              <w:top w:val="single" w:sz="8" w:space="0" w:color="7F7F7F"/>
              <w:left w:val="single" w:sz="8" w:space="0" w:color="auto"/>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740" w:type="dxa"/>
            <w:vMerge/>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120" w:type="dxa"/>
            <w:tcBorders>
              <w:top w:val="single" w:sz="8" w:space="0" w:color="7F7F7F"/>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80" w:type="dxa"/>
            <w:tcBorders>
              <w:top w:val="single" w:sz="8" w:space="0" w:color="7F7F7F"/>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2220" w:type="dxa"/>
            <w:vMerge/>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120" w:type="dxa"/>
            <w:tcBorders>
              <w:top w:val="single" w:sz="8" w:space="0" w:color="7F7F7F"/>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8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104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60" w:lineRule="exact"/>
              <w:ind w:left="280"/>
              <w:rPr>
                <w:rFonts w:ascii="Times New Roman" w:hAnsi="Times New Roman"/>
                <w:sz w:val="24"/>
                <w:szCs w:val="24"/>
              </w:rPr>
            </w:pPr>
            <w:r w:rsidRPr="00481167">
              <w:rPr>
                <w:rFonts w:cs="Calibri"/>
                <w:b/>
                <w:bCs/>
                <w:color w:val="FFFFFF"/>
              </w:rPr>
              <w:t>Iznos</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72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b/>
                <w:bCs/>
                <w:color w:val="FFFFFF"/>
                <w:w w:val="99"/>
              </w:rPr>
              <w:t>%</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120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60" w:lineRule="exact"/>
              <w:ind w:left="360"/>
              <w:rPr>
                <w:rFonts w:ascii="Times New Roman" w:hAnsi="Times New Roman"/>
                <w:sz w:val="24"/>
                <w:szCs w:val="24"/>
              </w:rPr>
            </w:pPr>
            <w:r w:rsidRPr="00481167">
              <w:rPr>
                <w:rFonts w:cs="Calibri"/>
                <w:b/>
                <w:bCs/>
                <w:color w:val="FFFFFF"/>
              </w:rPr>
              <w:t>Iznos</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62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b/>
                <w:bCs/>
                <w:color w:val="FFFFFF"/>
                <w:w w:val="99"/>
              </w:rPr>
              <w:t>%</w:t>
            </w:r>
          </w:p>
        </w:tc>
        <w:tc>
          <w:tcPr>
            <w:tcW w:w="14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80" w:type="dxa"/>
            <w:tcBorders>
              <w:top w:val="single" w:sz="8" w:space="0" w:color="7F7F7F"/>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1060" w:type="dxa"/>
            <w:vMerge/>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120" w:type="dxa"/>
            <w:tcBorders>
              <w:top w:val="single" w:sz="8" w:space="0" w:color="7F7F7F"/>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54"/>
        </w:trPr>
        <w:tc>
          <w:tcPr>
            <w:tcW w:w="120" w:type="dxa"/>
            <w:tcBorders>
              <w:top w:val="nil"/>
              <w:left w:val="single" w:sz="8" w:space="0" w:color="auto"/>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74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222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40" w:type="dxa"/>
            <w:vMerge/>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720" w:type="dxa"/>
            <w:vMerge/>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0" w:type="dxa"/>
            <w:vMerge/>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620" w:type="dxa"/>
            <w:vMerge/>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60" w:type="dxa"/>
            <w:tcBorders>
              <w:top w:val="nil"/>
              <w:left w:val="nil"/>
              <w:bottom w:val="single" w:sz="8" w:space="0" w:color="7F7F7F"/>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7F7F7F"/>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63"/>
        </w:trPr>
        <w:tc>
          <w:tcPr>
            <w:tcW w:w="120" w:type="dxa"/>
            <w:tcBorders>
              <w:top w:val="single" w:sz="8" w:space="0" w:color="auto"/>
              <w:left w:val="single" w:sz="8" w:space="0" w:color="auto"/>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74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 w:type="dxa"/>
            <w:tcBorders>
              <w:top w:val="single" w:sz="8" w:space="0" w:color="auto"/>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8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222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ind w:left="1060"/>
              <w:rPr>
                <w:rFonts w:ascii="Times New Roman" w:hAnsi="Times New Roman"/>
                <w:sz w:val="24"/>
                <w:szCs w:val="24"/>
              </w:rPr>
            </w:pPr>
            <w:r w:rsidRPr="00481167">
              <w:rPr>
                <w:rFonts w:cs="Calibri"/>
              </w:rPr>
              <w:t>1</w:t>
            </w:r>
          </w:p>
        </w:tc>
        <w:tc>
          <w:tcPr>
            <w:tcW w:w="120" w:type="dxa"/>
            <w:tcBorders>
              <w:top w:val="single" w:sz="8" w:space="0" w:color="auto"/>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8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4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w w:val="89"/>
              </w:rPr>
              <w:t>2</w:t>
            </w:r>
          </w:p>
        </w:tc>
        <w:tc>
          <w:tcPr>
            <w:tcW w:w="120" w:type="dxa"/>
            <w:tcBorders>
              <w:top w:val="single" w:sz="8" w:space="0" w:color="auto"/>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72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3</w:t>
            </w:r>
          </w:p>
        </w:tc>
        <w:tc>
          <w:tcPr>
            <w:tcW w:w="120" w:type="dxa"/>
            <w:tcBorders>
              <w:top w:val="single" w:sz="8" w:space="0" w:color="auto"/>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4</w:t>
            </w:r>
          </w:p>
        </w:tc>
        <w:tc>
          <w:tcPr>
            <w:tcW w:w="120" w:type="dxa"/>
            <w:tcBorders>
              <w:top w:val="single" w:sz="8" w:space="0" w:color="auto"/>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62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w w:val="89"/>
              </w:rPr>
              <w:t>5</w:t>
            </w:r>
          </w:p>
        </w:tc>
        <w:tc>
          <w:tcPr>
            <w:tcW w:w="140" w:type="dxa"/>
            <w:tcBorders>
              <w:top w:val="single" w:sz="8" w:space="0" w:color="auto"/>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8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60" w:type="dxa"/>
            <w:tcBorders>
              <w:top w:val="single" w:sz="8" w:space="0" w:color="auto"/>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6(4/2*100)</w:t>
            </w:r>
          </w:p>
        </w:tc>
        <w:tc>
          <w:tcPr>
            <w:tcW w:w="120" w:type="dxa"/>
            <w:tcBorders>
              <w:top w:val="single" w:sz="8" w:space="0" w:color="auto"/>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1"/>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1.</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234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Materijalni troškovi</w:t>
            </w:r>
          </w:p>
        </w:tc>
        <w:tc>
          <w:tcPr>
            <w:tcW w:w="112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32.571.810</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59,13</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3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27.460.630</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 xml:space="preserve"> 53,94</w:t>
            </w:r>
          </w:p>
        </w:tc>
        <w:tc>
          <w:tcPr>
            <w:tcW w:w="14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84,31</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2.</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234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Troškovi osoblja</w:t>
            </w:r>
          </w:p>
        </w:tc>
        <w:tc>
          <w:tcPr>
            <w:tcW w:w="112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16.041.134</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29,12</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3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16.810.143</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 xml:space="preserve"> 33,02</w:t>
            </w:r>
          </w:p>
        </w:tc>
        <w:tc>
          <w:tcPr>
            <w:tcW w:w="14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104,80</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3.</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234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Amortizacija</w:t>
            </w:r>
          </w:p>
        </w:tc>
        <w:tc>
          <w:tcPr>
            <w:tcW w:w="112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1.051.175</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1,91</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3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1.130.178</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r w:rsidRPr="00824B2A">
              <w:rPr>
                <w:rFonts w:asciiTheme="minorHAnsi" w:hAnsiTheme="minorHAnsi"/>
              </w:rPr>
              <w:t xml:space="preserve">   2,22</w:t>
            </w:r>
          </w:p>
        </w:tc>
        <w:tc>
          <w:tcPr>
            <w:tcW w:w="14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107,52</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4.</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234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Vrijednosno usklađenje</w:t>
            </w:r>
          </w:p>
        </w:tc>
        <w:tc>
          <w:tcPr>
            <w:tcW w:w="112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1.209.490</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2,20</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3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2.669.542</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 xml:space="preserve"> 5,24</w:t>
            </w:r>
          </w:p>
        </w:tc>
        <w:tc>
          <w:tcPr>
            <w:tcW w:w="14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220,72</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5.</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234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Ostali troškovi</w:t>
            </w:r>
          </w:p>
        </w:tc>
        <w:tc>
          <w:tcPr>
            <w:tcW w:w="112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3.190.497</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5,79</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3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1.788.413</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 xml:space="preserve"> 3,51</w:t>
            </w:r>
          </w:p>
        </w:tc>
        <w:tc>
          <w:tcPr>
            <w:tcW w:w="14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56,05</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36"/>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6.</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234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Ostali poslovni rashodi</w:t>
            </w:r>
          </w:p>
        </w:tc>
        <w:tc>
          <w:tcPr>
            <w:tcW w:w="112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1.016.716</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1,85</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3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1.047.073</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 xml:space="preserve"> 2,07</w:t>
            </w:r>
          </w:p>
        </w:tc>
        <w:tc>
          <w:tcPr>
            <w:tcW w:w="14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14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center"/>
              <w:rPr>
                <w:rFonts w:asciiTheme="minorHAnsi" w:hAnsiTheme="minorHAnsi"/>
              </w:rPr>
            </w:pPr>
            <w:r w:rsidRPr="00824B2A">
              <w:rPr>
                <w:rFonts w:asciiTheme="minorHAnsi" w:hAnsiTheme="minorHAnsi"/>
              </w:rPr>
              <w:t>102,99</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65"/>
        </w:trPr>
        <w:tc>
          <w:tcPr>
            <w:tcW w:w="120" w:type="dxa"/>
            <w:tcBorders>
              <w:top w:val="single" w:sz="8" w:space="0" w:color="F79646"/>
              <w:left w:val="single" w:sz="8" w:space="0" w:color="auto"/>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74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222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rPr>
                <w:rFonts w:ascii="Times New Roman" w:hAnsi="Times New Roman"/>
                <w:sz w:val="24"/>
                <w:szCs w:val="24"/>
              </w:rPr>
            </w:pPr>
            <w:r w:rsidRPr="00481167">
              <w:rPr>
                <w:rFonts w:cs="Calibri"/>
                <w:b/>
                <w:bCs/>
              </w:rPr>
              <w:t>UKUPNO</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4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60" w:lineRule="exact"/>
              <w:jc w:val="center"/>
              <w:rPr>
                <w:rFonts w:asciiTheme="minorHAnsi" w:hAnsiTheme="minorHAnsi"/>
                <w:b/>
              </w:rPr>
            </w:pPr>
            <w:r w:rsidRPr="00824B2A">
              <w:rPr>
                <w:rFonts w:asciiTheme="minorHAnsi" w:hAnsiTheme="minorHAnsi"/>
                <w:b/>
              </w:rPr>
              <w:t>55.080.822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72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60" w:lineRule="exact"/>
              <w:jc w:val="center"/>
              <w:rPr>
                <w:rFonts w:asciiTheme="minorHAnsi" w:hAnsiTheme="minorHAnsi"/>
              </w:rPr>
            </w:pPr>
            <w:r w:rsidRPr="00824B2A">
              <w:rPr>
                <w:rFonts w:asciiTheme="minorHAnsi" w:hAnsiTheme="minorHAnsi" w:cs="Calibri"/>
                <w:b/>
                <w:bCs/>
                <w:w w:val="97"/>
              </w:rPr>
              <w:t>100,00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20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60" w:lineRule="exact"/>
              <w:jc w:val="center"/>
              <w:rPr>
                <w:rFonts w:asciiTheme="minorHAnsi" w:hAnsiTheme="minorHAnsi"/>
                <w:b/>
              </w:rPr>
            </w:pPr>
            <w:r w:rsidRPr="00824B2A">
              <w:rPr>
                <w:rFonts w:asciiTheme="minorHAnsi" w:hAnsiTheme="minorHAnsi"/>
                <w:b/>
              </w:rPr>
              <w:t>50.905.979</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62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60" w:lineRule="exact"/>
              <w:jc w:val="center"/>
              <w:rPr>
                <w:rFonts w:asciiTheme="minorHAnsi" w:hAnsiTheme="minorHAnsi"/>
              </w:rPr>
            </w:pPr>
            <w:r w:rsidRPr="00824B2A">
              <w:rPr>
                <w:rFonts w:asciiTheme="minorHAnsi" w:hAnsiTheme="minorHAnsi" w:cs="Calibri"/>
                <w:b/>
                <w:bCs/>
              </w:rPr>
              <w:t>100,00</w:t>
            </w:r>
          </w:p>
        </w:tc>
        <w:tc>
          <w:tcPr>
            <w:tcW w:w="140" w:type="dxa"/>
            <w:tcBorders>
              <w:top w:val="single" w:sz="8" w:space="0" w:color="F79646"/>
              <w:left w:val="nil"/>
              <w:bottom w:val="single" w:sz="8" w:space="0" w:color="auto"/>
              <w:right w:val="single" w:sz="8" w:space="0" w:color="auto"/>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8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6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60" w:lineRule="exact"/>
              <w:jc w:val="center"/>
              <w:rPr>
                <w:rFonts w:asciiTheme="minorHAnsi" w:hAnsiTheme="minorHAnsi"/>
                <w:b/>
              </w:rPr>
            </w:pPr>
            <w:r w:rsidRPr="00824B2A">
              <w:rPr>
                <w:rFonts w:asciiTheme="minorHAnsi" w:hAnsiTheme="minorHAnsi"/>
                <w:b/>
              </w:rPr>
              <w:t>92,42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bl>
    <w:p w:rsidR="00C47CD5" w:rsidRDefault="00C47CD5" w:rsidP="00C47CD5">
      <w:pPr>
        <w:spacing w:line="240" w:lineRule="auto"/>
        <w:jc w:val="both"/>
        <w:rPr>
          <w:rFonts w:ascii="Times New Roman" w:hAnsi="Times New Roman"/>
          <w:sz w:val="24"/>
          <w:szCs w:val="24"/>
        </w:rPr>
      </w:pPr>
    </w:p>
    <w:p w:rsidR="00824B2A" w:rsidRPr="00824B2A" w:rsidRDefault="00824B2A" w:rsidP="00824B2A">
      <w:pPr>
        <w:widowControl w:val="0"/>
        <w:overflowPunct w:val="0"/>
        <w:autoSpaceDE w:val="0"/>
        <w:autoSpaceDN w:val="0"/>
        <w:adjustRightInd w:val="0"/>
        <w:spacing w:after="0" w:line="240" w:lineRule="auto"/>
        <w:ind w:left="40"/>
        <w:jc w:val="both"/>
        <w:rPr>
          <w:rFonts w:ascii="Times New Roman" w:hAnsi="Times New Roman"/>
          <w:sz w:val="24"/>
          <w:szCs w:val="24"/>
        </w:rPr>
      </w:pPr>
      <w:r w:rsidRPr="00824B2A">
        <w:rPr>
          <w:rFonts w:ascii="Times New Roman" w:hAnsi="Times New Roman"/>
          <w:sz w:val="24"/>
          <w:szCs w:val="24"/>
        </w:rPr>
        <w:t>Analizirajući gore navedenu tablicu, vidljivo je da troškovi osoblja bilježe blagi rast od 4,8% u odnosu na 2014.godinu,a do toga je došlo uslijed zakonskih propisa o povećanju minimalne osnovice. Najveći udio u troškovima zauzimaju materijalni troškovi koji su se smanjili za 16% , dok se amortizacija povećala za 7,5% u odnosu na prethodnu godinu. Troškovi vrijednosnog usklađenja se odnose na usklađenje potraživanja od kupaca za obračunate zatezne kamate koje su utužene.</w:t>
      </w:r>
    </w:p>
    <w:p w:rsidR="00824B2A" w:rsidRPr="00824B2A" w:rsidRDefault="00824B2A" w:rsidP="00824B2A">
      <w:pPr>
        <w:widowControl w:val="0"/>
        <w:autoSpaceDE w:val="0"/>
        <w:autoSpaceDN w:val="0"/>
        <w:adjustRightInd w:val="0"/>
        <w:spacing w:after="0" w:line="240" w:lineRule="auto"/>
        <w:jc w:val="both"/>
        <w:rPr>
          <w:rFonts w:ascii="Times New Roman" w:hAnsi="Times New Roman"/>
          <w:sz w:val="24"/>
          <w:szCs w:val="24"/>
        </w:rPr>
      </w:pPr>
    </w:p>
    <w:p w:rsidR="00824B2A" w:rsidRPr="00824B2A" w:rsidRDefault="00824B2A" w:rsidP="00824B2A">
      <w:pPr>
        <w:widowControl w:val="0"/>
        <w:overflowPunct w:val="0"/>
        <w:autoSpaceDE w:val="0"/>
        <w:autoSpaceDN w:val="0"/>
        <w:adjustRightInd w:val="0"/>
        <w:spacing w:after="0" w:line="240" w:lineRule="auto"/>
        <w:ind w:left="40"/>
        <w:jc w:val="both"/>
        <w:rPr>
          <w:rFonts w:ascii="Times New Roman" w:hAnsi="Times New Roman"/>
          <w:sz w:val="24"/>
          <w:szCs w:val="24"/>
        </w:rPr>
      </w:pPr>
      <w:r w:rsidRPr="00824B2A">
        <w:rPr>
          <w:rFonts w:ascii="Times New Roman" w:hAnsi="Times New Roman"/>
          <w:sz w:val="24"/>
          <w:szCs w:val="24"/>
        </w:rPr>
        <w:t>Pod ostale troškove spadaju naknade zaposlenicima kao što su premije osiguranja, prijevoz, terenski dodatak, božidnice, otpremnine, jubilarne nagrade i sl.</w:t>
      </w:r>
    </w:p>
    <w:p w:rsidR="00824B2A" w:rsidRPr="00824B2A" w:rsidRDefault="00824B2A" w:rsidP="00824B2A">
      <w:pPr>
        <w:widowControl w:val="0"/>
        <w:autoSpaceDE w:val="0"/>
        <w:autoSpaceDN w:val="0"/>
        <w:adjustRightInd w:val="0"/>
        <w:spacing w:after="0" w:line="240" w:lineRule="auto"/>
        <w:jc w:val="both"/>
        <w:rPr>
          <w:rFonts w:ascii="Times New Roman" w:hAnsi="Times New Roman"/>
          <w:sz w:val="24"/>
          <w:szCs w:val="24"/>
        </w:rPr>
      </w:pPr>
    </w:p>
    <w:p w:rsidR="00824B2A" w:rsidRPr="00824B2A" w:rsidRDefault="00824B2A" w:rsidP="00824B2A">
      <w:pPr>
        <w:widowControl w:val="0"/>
        <w:overflowPunct w:val="0"/>
        <w:autoSpaceDE w:val="0"/>
        <w:autoSpaceDN w:val="0"/>
        <w:adjustRightInd w:val="0"/>
        <w:spacing w:after="0" w:line="240" w:lineRule="auto"/>
        <w:ind w:left="40" w:right="20"/>
        <w:jc w:val="both"/>
        <w:rPr>
          <w:rFonts w:ascii="Times New Roman" w:hAnsi="Times New Roman"/>
          <w:sz w:val="24"/>
          <w:szCs w:val="24"/>
        </w:rPr>
      </w:pPr>
      <w:r w:rsidRPr="00824B2A">
        <w:rPr>
          <w:rFonts w:ascii="Times New Roman" w:hAnsi="Times New Roman"/>
          <w:sz w:val="24"/>
          <w:szCs w:val="24"/>
        </w:rPr>
        <w:t>U ostalim poslovnim rashodima iskazani su rashodi rashodovane imovine, novčane kazne i štete, te rashodi po osnovi otpisa potraživanja od kupaca</w:t>
      </w:r>
      <w:r w:rsidR="002D2F1C">
        <w:rPr>
          <w:rFonts w:ascii="Times New Roman" w:hAnsi="Times New Roman"/>
          <w:sz w:val="24"/>
          <w:szCs w:val="24"/>
        </w:rPr>
        <w:t>.</w:t>
      </w:r>
    </w:p>
    <w:p w:rsidR="00824B2A" w:rsidRDefault="00824B2A" w:rsidP="00C47CD5">
      <w:pPr>
        <w:spacing w:line="240" w:lineRule="auto"/>
        <w:jc w:val="both"/>
        <w:rPr>
          <w:rFonts w:ascii="Times New Roman" w:hAnsi="Times New Roman"/>
          <w:sz w:val="24"/>
          <w:szCs w:val="24"/>
        </w:rPr>
      </w:pPr>
    </w:p>
    <w:p w:rsidR="00824B2A" w:rsidRDefault="00824B2A" w:rsidP="00C47CD5">
      <w:pPr>
        <w:spacing w:line="240" w:lineRule="auto"/>
        <w:jc w:val="both"/>
        <w:rPr>
          <w:rFonts w:ascii="Times New Roman" w:hAnsi="Times New Roman"/>
          <w:sz w:val="24"/>
          <w:szCs w:val="24"/>
        </w:rPr>
      </w:pPr>
    </w:p>
    <w:p w:rsidR="009C6F78" w:rsidRDefault="009C6F78" w:rsidP="00824B2A">
      <w:pPr>
        <w:widowControl w:val="0"/>
        <w:autoSpaceDE w:val="0"/>
        <w:autoSpaceDN w:val="0"/>
        <w:adjustRightInd w:val="0"/>
        <w:spacing w:after="0" w:line="240" w:lineRule="auto"/>
        <w:rPr>
          <w:rFonts w:ascii="Times New Roman" w:hAnsi="Times New Roman"/>
          <w:sz w:val="24"/>
          <w:szCs w:val="24"/>
        </w:rPr>
      </w:pPr>
    </w:p>
    <w:p w:rsidR="009C6F78" w:rsidRDefault="009C6F78" w:rsidP="00824B2A">
      <w:pPr>
        <w:widowControl w:val="0"/>
        <w:autoSpaceDE w:val="0"/>
        <w:autoSpaceDN w:val="0"/>
        <w:adjustRightInd w:val="0"/>
        <w:spacing w:after="0" w:line="240" w:lineRule="auto"/>
        <w:rPr>
          <w:rFonts w:ascii="Times New Roman" w:hAnsi="Times New Roman"/>
          <w:sz w:val="24"/>
          <w:szCs w:val="24"/>
        </w:rPr>
      </w:pPr>
    </w:p>
    <w:p w:rsidR="007A0CDB" w:rsidRDefault="007A0CDB" w:rsidP="00824B2A">
      <w:pPr>
        <w:widowControl w:val="0"/>
        <w:autoSpaceDE w:val="0"/>
        <w:autoSpaceDN w:val="0"/>
        <w:adjustRightInd w:val="0"/>
        <w:spacing w:after="0" w:line="240" w:lineRule="auto"/>
        <w:rPr>
          <w:rFonts w:ascii="Times New Roman" w:hAnsi="Times New Roman"/>
          <w:sz w:val="24"/>
          <w:szCs w:val="24"/>
        </w:rPr>
      </w:pPr>
    </w:p>
    <w:p w:rsidR="00824B2A" w:rsidRPr="007A0CDB" w:rsidRDefault="00824B2A" w:rsidP="00824B2A">
      <w:pPr>
        <w:widowControl w:val="0"/>
        <w:autoSpaceDE w:val="0"/>
        <w:autoSpaceDN w:val="0"/>
        <w:adjustRightInd w:val="0"/>
        <w:spacing w:after="0" w:line="240" w:lineRule="auto"/>
        <w:rPr>
          <w:rFonts w:ascii="Times New Roman" w:hAnsi="Times New Roman"/>
          <w:b/>
          <w:i/>
          <w:sz w:val="24"/>
          <w:szCs w:val="24"/>
        </w:rPr>
      </w:pPr>
      <w:r w:rsidRPr="007A0CDB">
        <w:rPr>
          <w:rFonts w:cs="Calibri"/>
          <w:b/>
          <w:i/>
          <w:sz w:val="32"/>
          <w:szCs w:val="32"/>
        </w:rPr>
        <w:t>Materijalni troškovi</w:t>
      </w:r>
    </w:p>
    <w:p w:rsidR="00824B2A" w:rsidRDefault="00824B2A" w:rsidP="00824B2A">
      <w:pPr>
        <w:widowControl w:val="0"/>
        <w:autoSpaceDE w:val="0"/>
        <w:autoSpaceDN w:val="0"/>
        <w:adjustRightInd w:val="0"/>
        <w:spacing w:after="0" w:line="376" w:lineRule="exact"/>
        <w:rPr>
          <w:rFonts w:ascii="Times New Roman" w:hAnsi="Times New Roman"/>
          <w:sz w:val="24"/>
          <w:szCs w:val="24"/>
        </w:rPr>
      </w:pPr>
    </w:p>
    <w:p w:rsidR="00824B2A" w:rsidRPr="00824B2A" w:rsidRDefault="00824B2A" w:rsidP="00824B2A">
      <w:pPr>
        <w:widowControl w:val="0"/>
        <w:overflowPunct w:val="0"/>
        <w:autoSpaceDE w:val="0"/>
        <w:autoSpaceDN w:val="0"/>
        <w:adjustRightInd w:val="0"/>
        <w:spacing w:after="0" w:line="240" w:lineRule="auto"/>
        <w:ind w:left="40" w:right="20"/>
        <w:jc w:val="both"/>
        <w:rPr>
          <w:rFonts w:ascii="Times New Roman" w:hAnsi="Times New Roman"/>
          <w:sz w:val="24"/>
          <w:szCs w:val="24"/>
        </w:rPr>
      </w:pPr>
      <w:r w:rsidRPr="00824B2A">
        <w:rPr>
          <w:rFonts w:ascii="Times New Roman" w:hAnsi="Times New Roman"/>
          <w:sz w:val="24"/>
          <w:szCs w:val="24"/>
        </w:rPr>
        <w:t>Materijalni troškovi su podijeljeni na troškove materijala i sirovina te na ostale vanjske troškove. Ukupan iznos tih troškova u 2015. godini je iznosio 27,5 mil. kuna, za 16% manje nego u 2014. kada su iznosili 32,5 mil. kuna. Detaljna razrada dana je u tablici 9.</w:t>
      </w:r>
    </w:p>
    <w:p w:rsidR="00824B2A" w:rsidRDefault="00824B2A" w:rsidP="00824B2A">
      <w:pPr>
        <w:widowControl w:val="0"/>
        <w:autoSpaceDE w:val="0"/>
        <w:autoSpaceDN w:val="0"/>
        <w:adjustRightInd w:val="0"/>
        <w:spacing w:after="0" w:line="271" w:lineRule="exact"/>
        <w:rPr>
          <w:rFonts w:ascii="Times New Roman" w:hAnsi="Times New Roman"/>
          <w:sz w:val="24"/>
          <w:szCs w:val="24"/>
        </w:rPr>
      </w:pPr>
    </w:p>
    <w:p w:rsidR="00824B2A" w:rsidRDefault="00824B2A" w:rsidP="00824B2A">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9. Struktura materijalnih troškova</w:t>
      </w:r>
    </w:p>
    <w:tbl>
      <w:tblPr>
        <w:tblW w:w="0" w:type="auto"/>
        <w:tblInd w:w="10" w:type="dxa"/>
        <w:tblLayout w:type="fixed"/>
        <w:tblCellMar>
          <w:left w:w="0" w:type="dxa"/>
          <w:right w:w="0" w:type="dxa"/>
        </w:tblCellMar>
        <w:tblLook w:val="0000" w:firstRow="0" w:lastRow="0" w:firstColumn="0" w:lastColumn="0" w:noHBand="0" w:noVBand="0"/>
      </w:tblPr>
      <w:tblGrid>
        <w:gridCol w:w="120"/>
        <w:gridCol w:w="680"/>
        <w:gridCol w:w="120"/>
        <w:gridCol w:w="80"/>
        <w:gridCol w:w="3180"/>
        <w:gridCol w:w="120"/>
        <w:gridCol w:w="100"/>
        <w:gridCol w:w="1020"/>
        <w:gridCol w:w="120"/>
        <w:gridCol w:w="80"/>
        <w:gridCol w:w="1020"/>
        <w:gridCol w:w="120"/>
        <w:gridCol w:w="100"/>
        <w:gridCol w:w="1000"/>
        <w:gridCol w:w="120"/>
        <w:gridCol w:w="30"/>
      </w:tblGrid>
      <w:tr w:rsidR="00824B2A" w:rsidRPr="00481167" w:rsidTr="00933A35">
        <w:trPr>
          <w:trHeight w:val="192"/>
        </w:trPr>
        <w:tc>
          <w:tcPr>
            <w:tcW w:w="120" w:type="dxa"/>
            <w:tcBorders>
              <w:top w:val="single" w:sz="8" w:space="0" w:color="auto"/>
              <w:left w:val="single" w:sz="8" w:space="0" w:color="auto"/>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68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color w:val="FFFFFF"/>
                <w:w w:val="98"/>
              </w:rPr>
              <w:t>Red.br.</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8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318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67" w:lineRule="exact"/>
              <w:ind w:left="1340"/>
              <w:rPr>
                <w:rFonts w:ascii="Times New Roman" w:hAnsi="Times New Roman"/>
                <w:sz w:val="24"/>
                <w:szCs w:val="24"/>
              </w:rPr>
            </w:pPr>
            <w:r w:rsidRPr="00481167">
              <w:rPr>
                <w:rFonts w:cs="Calibri"/>
                <w:b/>
                <w:bCs/>
                <w:color w:val="FFFFFF"/>
              </w:rPr>
              <w:t>Naziv</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102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67" w:lineRule="exact"/>
              <w:ind w:right="150"/>
              <w:jc w:val="right"/>
              <w:rPr>
                <w:rFonts w:ascii="Times New Roman" w:hAnsi="Times New Roman"/>
                <w:sz w:val="24"/>
                <w:szCs w:val="24"/>
              </w:rPr>
            </w:pPr>
            <w:r w:rsidRPr="00481167">
              <w:rPr>
                <w:rFonts w:cs="Calibri"/>
                <w:b/>
                <w:bCs/>
                <w:color w:val="FFFFFF"/>
              </w:rPr>
              <w:t>2014.</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8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102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67" w:lineRule="exact"/>
              <w:ind w:right="150"/>
              <w:jc w:val="right"/>
              <w:rPr>
                <w:rFonts w:ascii="Times New Roman" w:hAnsi="Times New Roman"/>
                <w:sz w:val="24"/>
                <w:szCs w:val="24"/>
              </w:rPr>
            </w:pPr>
            <w:r w:rsidRPr="00481167">
              <w:rPr>
                <w:rFonts w:cs="Calibri"/>
                <w:b/>
                <w:bCs/>
                <w:color w:val="FFFFFF"/>
              </w:rPr>
              <w:t>2015.</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100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67" w:lineRule="exact"/>
              <w:ind w:right="150"/>
              <w:jc w:val="right"/>
              <w:rPr>
                <w:rFonts w:ascii="Times New Roman" w:hAnsi="Times New Roman"/>
                <w:sz w:val="24"/>
                <w:szCs w:val="24"/>
              </w:rPr>
            </w:pPr>
            <w:r w:rsidRPr="00481167">
              <w:rPr>
                <w:rFonts w:cs="Calibri"/>
                <w:b/>
                <w:bCs/>
                <w:color w:val="FFFFFF"/>
              </w:rPr>
              <w:t>Index</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65"/>
        </w:trPr>
        <w:tc>
          <w:tcPr>
            <w:tcW w:w="120" w:type="dxa"/>
            <w:tcBorders>
              <w:top w:val="nil"/>
              <w:left w:val="single" w:sz="8" w:space="0" w:color="auto"/>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68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318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2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2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0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56"/>
        </w:trPr>
        <w:tc>
          <w:tcPr>
            <w:tcW w:w="120" w:type="dxa"/>
            <w:tcBorders>
              <w:top w:val="nil"/>
              <w:left w:val="single" w:sz="8" w:space="0" w:color="auto"/>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68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8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318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0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02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8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02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0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00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65"/>
        </w:trPr>
        <w:tc>
          <w:tcPr>
            <w:tcW w:w="120" w:type="dxa"/>
            <w:tcBorders>
              <w:top w:val="single" w:sz="8" w:space="0" w:color="F79646"/>
              <w:left w:val="single" w:sz="8" w:space="0" w:color="auto"/>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6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31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ind w:left="1540"/>
              <w:rPr>
                <w:rFonts w:ascii="Times New Roman" w:hAnsi="Times New Roman"/>
                <w:sz w:val="24"/>
                <w:szCs w:val="24"/>
              </w:rPr>
            </w:pPr>
            <w:r w:rsidRPr="00481167">
              <w:rPr>
                <w:rFonts w:cs="Calibri"/>
              </w:rPr>
              <w:t>1</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2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ind w:right="350"/>
              <w:jc w:val="right"/>
              <w:rPr>
                <w:rFonts w:ascii="Times New Roman" w:hAnsi="Times New Roman"/>
                <w:sz w:val="24"/>
                <w:szCs w:val="24"/>
              </w:rPr>
            </w:pPr>
            <w:r w:rsidRPr="00481167">
              <w:rPr>
                <w:rFonts w:cs="Calibri"/>
              </w:rPr>
              <w:t>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2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ind w:right="330"/>
              <w:jc w:val="right"/>
              <w:rPr>
                <w:rFonts w:ascii="Times New Roman" w:hAnsi="Times New Roman"/>
                <w:sz w:val="24"/>
                <w:szCs w:val="24"/>
              </w:rPr>
            </w:pPr>
            <w:r w:rsidRPr="00481167">
              <w:rPr>
                <w:rFonts w:cs="Calibri"/>
              </w:rPr>
              <w:t>3</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0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jc w:val="right"/>
              <w:rPr>
                <w:rFonts w:ascii="Times New Roman" w:hAnsi="Times New Roman"/>
                <w:sz w:val="24"/>
                <w:szCs w:val="24"/>
              </w:rPr>
            </w:pPr>
            <w:r w:rsidRPr="00481167">
              <w:rPr>
                <w:rFonts w:cs="Calibri"/>
                <w:w w:val="98"/>
              </w:rPr>
              <w:t>4(3/2*100)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1"/>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b/>
                <w:bCs/>
                <w:w w:val="93"/>
              </w:rPr>
              <w:t>1.</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Troškovi sirovina i materijala</w:t>
            </w:r>
          </w:p>
        </w:tc>
        <w:tc>
          <w:tcPr>
            <w:tcW w:w="124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b/>
                <w:bCs/>
              </w:rPr>
              <w:t>18.901.145</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67" w:lineRule="exact"/>
              <w:ind w:right="120"/>
              <w:jc w:val="right"/>
              <w:rPr>
                <w:rFonts w:asciiTheme="minorHAnsi" w:hAnsiTheme="minorHAnsi"/>
                <w:b/>
              </w:rPr>
            </w:pPr>
            <w:r w:rsidRPr="00824B2A">
              <w:rPr>
                <w:rFonts w:asciiTheme="minorHAnsi" w:hAnsiTheme="minorHAnsi"/>
                <w:b/>
              </w:rPr>
              <w:t>12.938.758</w:t>
            </w:r>
          </w:p>
        </w:tc>
        <w:tc>
          <w:tcPr>
            <w:tcW w:w="11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67" w:lineRule="exact"/>
              <w:jc w:val="right"/>
              <w:rPr>
                <w:rFonts w:asciiTheme="minorHAnsi" w:hAnsiTheme="minorHAnsi"/>
                <w:b/>
              </w:rPr>
            </w:pPr>
            <w:r w:rsidRPr="00824B2A">
              <w:rPr>
                <w:rFonts w:asciiTheme="minorHAnsi" w:hAnsiTheme="minorHAnsi"/>
                <w:b/>
              </w:rPr>
              <w:t>68,45</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imes New Roman" w:hAnsi="Times New Roman"/>
                <w:b/>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05"/>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1.1.</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Troškovi materijala</w:t>
            </w:r>
          </w:p>
        </w:tc>
        <w:tc>
          <w:tcPr>
            <w:tcW w:w="124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rPr>
              <w:t>14.251.327</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rPr>
              <w:t>8.753.704</w:t>
            </w:r>
          </w:p>
        </w:tc>
        <w:tc>
          <w:tcPr>
            <w:tcW w:w="11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67" w:lineRule="exact"/>
              <w:jc w:val="right"/>
              <w:rPr>
                <w:rFonts w:asciiTheme="minorHAnsi" w:hAnsiTheme="minorHAnsi"/>
              </w:rPr>
            </w:pPr>
            <w:r w:rsidRPr="00824B2A">
              <w:rPr>
                <w:rFonts w:asciiTheme="minorHAnsi" w:hAnsiTheme="minorHAnsi"/>
              </w:rPr>
              <w:t>61,42</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1.2.</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Troškovi energije</w:t>
            </w:r>
          </w:p>
        </w:tc>
        <w:tc>
          <w:tcPr>
            <w:tcW w:w="124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rPr>
              <w:t>3.420.373</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rPr>
              <w:t>2.897.382</w:t>
            </w:r>
          </w:p>
        </w:tc>
        <w:tc>
          <w:tcPr>
            <w:tcW w:w="11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67" w:lineRule="exact"/>
              <w:jc w:val="right"/>
              <w:rPr>
                <w:rFonts w:asciiTheme="minorHAnsi" w:hAnsiTheme="minorHAnsi"/>
              </w:rPr>
            </w:pPr>
            <w:r w:rsidRPr="00824B2A">
              <w:rPr>
                <w:rFonts w:asciiTheme="minorHAnsi" w:hAnsiTheme="minorHAnsi"/>
              </w:rPr>
              <w:t>84,71</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58"/>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54" w:lineRule="exact"/>
              <w:jc w:val="center"/>
              <w:rPr>
                <w:rFonts w:ascii="Times New Roman" w:hAnsi="Times New Roman"/>
                <w:sz w:val="24"/>
                <w:szCs w:val="24"/>
              </w:rPr>
            </w:pPr>
            <w:r w:rsidRPr="00481167">
              <w:rPr>
                <w:rFonts w:cs="Calibri"/>
              </w:rPr>
              <w:t>1.3.</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54" w:lineRule="exact"/>
              <w:rPr>
                <w:rFonts w:ascii="Times New Roman" w:hAnsi="Times New Roman"/>
                <w:sz w:val="24"/>
                <w:szCs w:val="24"/>
              </w:rPr>
            </w:pPr>
            <w:r w:rsidRPr="00481167">
              <w:rPr>
                <w:rFonts w:cs="Calibri"/>
              </w:rPr>
              <w:t>Utrošeni rezervni dijelovi</w:t>
            </w:r>
          </w:p>
        </w:tc>
        <w:tc>
          <w:tcPr>
            <w:tcW w:w="124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54" w:lineRule="exact"/>
              <w:ind w:right="120"/>
              <w:jc w:val="right"/>
              <w:rPr>
                <w:rFonts w:asciiTheme="minorHAnsi" w:hAnsiTheme="minorHAnsi"/>
              </w:rPr>
            </w:pPr>
            <w:r w:rsidRPr="00824B2A">
              <w:rPr>
                <w:rFonts w:asciiTheme="minorHAnsi" w:hAnsiTheme="minorHAnsi" w:cs="Calibri"/>
              </w:rPr>
              <w:t>848.472</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54" w:lineRule="exact"/>
              <w:ind w:right="120"/>
              <w:jc w:val="right"/>
              <w:rPr>
                <w:rFonts w:asciiTheme="minorHAnsi" w:hAnsiTheme="minorHAnsi"/>
              </w:rPr>
            </w:pPr>
            <w:r w:rsidRPr="00824B2A">
              <w:rPr>
                <w:rFonts w:asciiTheme="minorHAnsi" w:hAnsiTheme="minorHAnsi"/>
              </w:rPr>
              <w:t>908.647</w:t>
            </w:r>
          </w:p>
        </w:tc>
        <w:tc>
          <w:tcPr>
            <w:tcW w:w="11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54" w:lineRule="exact"/>
              <w:jc w:val="right"/>
              <w:rPr>
                <w:rFonts w:asciiTheme="minorHAnsi" w:hAnsiTheme="minorHAnsi"/>
              </w:rPr>
            </w:pPr>
            <w:r w:rsidRPr="00824B2A">
              <w:rPr>
                <w:rFonts w:asciiTheme="minorHAnsi" w:hAnsiTheme="minorHAnsi"/>
              </w:rPr>
              <w:t>107,00</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36"/>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1.4.</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Otpisani sitni inventar</w:t>
            </w:r>
          </w:p>
        </w:tc>
        <w:tc>
          <w:tcPr>
            <w:tcW w:w="124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rPr>
              <w:t>380.973</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rPr>
              <w:t>379.025</w:t>
            </w:r>
          </w:p>
        </w:tc>
        <w:tc>
          <w:tcPr>
            <w:tcW w:w="11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67" w:lineRule="exact"/>
              <w:jc w:val="right"/>
              <w:rPr>
                <w:rFonts w:asciiTheme="minorHAnsi" w:hAnsiTheme="minorHAnsi"/>
              </w:rPr>
            </w:pPr>
            <w:r w:rsidRPr="00824B2A">
              <w:rPr>
                <w:rFonts w:asciiTheme="minorHAnsi" w:hAnsiTheme="minorHAnsi"/>
              </w:rPr>
              <w:t>99,49</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69"/>
        </w:trPr>
        <w:tc>
          <w:tcPr>
            <w:tcW w:w="120" w:type="dxa"/>
            <w:tcBorders>
              <w:top w:val="single" w:sz="8" w:space="0" w:color="F79646"/>
              <w:left w:val="single" w:sz="8" w:space="0" w:color="auto"/>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6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F79646"/>
              <w:left w:val="nil"/>
              <w:bottom w:val="single" w:sz="8" w:space="0" w:color="auto"/>
              <w:right w:val="single" w:sz="8" w:space="0" w:color="F79646"/>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31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F79646"/>
              <w:left w:val="nil"/>
              <w:bottom w:val="single" w:sz="8" w:space="0" w:color="auto"/>
              <w:right w:val="single" w:sz="8" w:space="0" w:color="F79646"/>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40" w:type="dxa"/>
            <w:gridSpan w:val="3"/>
            <w:tcBorders>
              <w:top w:val="single" w:sz="8" w:space="0" w:color="F79646"/>
              <w:left w:val="nil"/>
              <w:bottom w:val="single" w:sz="8" w:space="0" w:color="auto"/>
              <w:right w:val="single" w:sz="8" w:space="0" w:color="F79646"/>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220" w:type="dxa"/>
            <w:gridSpan w:val="3"/>
            <w:tcBorders>
              <w:top w:val="single" w:sz="8" w:space="0" w:color="F79646"/>
              <w:left w:val="nil"/>
              <w:bottom w:val="single" w:sz="8" w:space="0" w:color="auto"/>
              <w:right w:val="single" w:sz="8" w:space="0" w:color="F79646"/>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100" w:type="dxa"/>
            <w:gridSpan w:val="2"/>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14"/>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b/>
                <w:bCs/>
                <w:w w:val="93"/>
              </w:rPr>
              <w:t>2.</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b/>
                <w:bCs/>
              </w:rPr>
              <w:t>Ostali vanjski troškovi</w:t>
            </w:r>
          </w:p>
        </w:tc>
        <w:tc>
          <w:tcPr>
            <w:tcW w:w="124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cs="Calibri"/>
                <w:b/>
                <w:bCs/>
              </w:rPr>
              <w:t>13.670.665</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ind w:right="120"/>
              <w:jc w:val="right"/>
              <w:rPr>
                <w:rFonts w:asciiTheme="minorHAnsi" w:hAnsiTheme="minorHAnsi"/>
                <w:b/>
              </w:rPr>
            </w:pPr>
            <w:r w:rsidRPr="00824B2A">
              <w:rPr>
                <w:rFonts w:asciiTheme="minorHAnsi" w:hAnsiTheme="minorHAnsi"/>
                <w:b/>
              </w:rPr>
              <w:t>14.521.872</w:t>
            </w:r>
          </w:p>
        </w:tc>
        <w:tc>
          <w:tcPr>
            <w:tcW w:w="11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right"/>
              <w:rPr>
                <w:rFonts w:asciiTheme="minorHAnsi" w:hAnsiTheme="minorHAnsi"/>
                <w:b/>
              </w:rPr>
            </w:pPr>
            <w:r w:rsidRPr="00824B2A">
              <w:rPr>
                <w:rFonts w:asciiTheme="minorHAnsi" w:hAnsiTheme="minorHAnsi"/>
                <w:b/>
              </w:rPr>
              <w:t>106,22</w:t>
            </w:r>
          </w:p>
        </w:tc>
        <w:tc>
          <w:tcPr>
            <w:tcW w:w="120" w:type="dxa"/>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rPr>
                <w:rFonts w:ascii="Times New Roman" w:hAnsi="Times New Roman"/>
                <w:b/>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06"/>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2.1.</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Poštarina,dostava,telekomunikacije</w:t>
            </w:r>
          </w:p>
        </w:tc>
        <w:tc>
          <w:tcPr>
            <w:tcW w:w="124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cs="Calibri"/>
              </w:rPr>
              <w:t>323.540</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rPr>
              <w:t>306.770</w:t>
            </w:r>
          </w:p>
        </w:tc>
        <w:tc>
          <w:tcPr>
            <w:tcW w:w="11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right"/>
              <w:rPr>
                <w:rFonts w:asciiTheme="minorHAnsi" w:hAnsiTheme="minorHAnsi"/>
              </w:rPr>
            </w:pPr>
            <w:r w:rsidRPr="00824B2A">
              <w:rPr>
                <w:rFonts w:asciiTheme="minorHAnsi" w:hAnsiTheme="minorHAnsi"/>
              </w:rPr>
              <w:t>94,82</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2.2.</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Usluge održavanja</w:t>
            </w:r>
          </w:p>
        </w:tc>
        <w:tc>
          <w:tcPr>
            <w:tcW w:w="124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cs="Calibri"/>
              </w:rPr>
              <w:t>801.098</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rPr>
              <w:t>589.513</w:t>
            </w:r>
          </w:p>
        </w:tc>
        <w:tc>
          <w:tcPr>
            <w:tcW w:w="11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right"/>
              <w:rPr>
                <w:rFonts w:asciiTheme="minorHAnsi" w:hAnsiTheme="minorHAnsi"/>
              </w:rPr>
            </w:pPr>
            <w:r w:rsidRPr="00824B2A">
              <w:rPr>
                <w:rFonts w:asciiTheme="minorHAnsi" w:hAnsiTheme="minorHAnsi"/>
              </w:rPr>
              <w:t>73,59</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2.3.</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Vanjske usluge kooperanata</w:t>
            </w:r>
          </w:p>
        </w:tc>
        <w:tc>
          <w:tcPr>
            <w:tcW w:w="124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cs="Calibri"/>
              </w:rPr>
              <w:t>11.322.329</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rPr>
              <w:t>12.407.934</w:t>
            </w:r>
          </w:p>
        </w:tc>
        <w:tc>
          <w:tcPr>
            <w:tcW w:w="11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right"/>
              <w:rPr>
                <w:rFonts w:asciiTheme="minorHAnsi" w:hAnsiTheme="minorHAnsi"/>
              </w:rPr>
            </w:pPr>
            <w:r w:rsidRPr="00824B2A">
              <w:rPr>
                <w:rFonts w:asciiTheme="minorHAnsi" w:hAnsiTheme="minorHAnsi"/>
              </w:rPr>
              <w:t>109,59</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07"/>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2.4.</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Usluge najma i zakupa (leasing)</w:t>
            </w:r>
          </w:p>
        </w:tc>
        <w:tc>
          <w:tcPr>
            <w:tcW w:w="124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cs="Calibri"/>
              </w:rPr>
              <w:t>364.483</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rPr>
              <w:t>359.926</w:t>
            </w:r>
          </w:p>
        </w:tc>
        <w:tc>
          <w:tcPr>
            <w:tcW w:w="11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right"/>
              <w:rPr>
                <w:rFonts w:asciiTheme="minorHAnsi" w:hAnsiTheme="minorHAnsi"/>
              </w:rPr>
            </w:pPr>
            <w:r w:rsidRPr="00824B2A">
              <w:rPr>
                <w:rFonts w:asciiTheme="minorHAnsi" w:hAnsiTheme="minorHAnsi"/>
              </w:rPr>
              <w:t>98,75</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2.5.</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Komunalne usluge</w:t>
            </w:r>
          </w:p>
        </w:tc>
        <w:tc>
          <w:tcPr>
            <w:tcW w:w="124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cs="Calibri"/>
              </w:rPr>
              <w:t>95.709</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rPr>
              <w:t>98.410</w:t>
            </w:r>
          </w:p>
        </w:tc>
        <w:tc>
          <w:tcPr>
            <w:tcW w:w="11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right"/>
              <w:rPr>
                <w:rFonts w:asciiTheme="minorHAnsi" w:hAnsiTheme="minorHAnsi"/>
              </w:rPr>
            </w:pPr>
            <w:r w:rsidRPr="00824B2A">
              <w:rPr>
                <w:rFonts w:asciiTheme="minorHAnsi" w:hAnsiTheme="minorHAnsi"/>
              </w:rPr>
              <w:t>102,82</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2.6.</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Bankarske usluge i čl.udr</w:t>
            </w:r>
            <w:r>
              <w:rPr>
                <w:rFonts w:cs="Calibri"/>
              </w:rPr>
              <w:t>u</w:t>
            </w:r>
            <w:r w:rsidRPr="00481167">
              <w:rPr>
                <w:rFonts w:cs="Calibri"/>
              </w:rPr>
              <w:t>ženjima</w:t>
            </w:r>
          </w:p>
        </w:tc>
        <w:tc>
          <w:tcPr>
            <w:tcW w:w="124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cs="Calibri"/>
              </w:rPr>
              <w:t>189.631</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rPr>
              <w:t>215.933</w:t>
            </w:r>
          </w:p>
        </w:tc>
        <w:tc>
          <w:tcPr>
            <w:tcW w:w="11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right"/>
              <w:rPr>
                <w:rFonts w:asciiTheme="minorHAnsi" w:hAnsiTheme="minorHAnsi"/>
              </w:rPr>
            </w:pPr>
            <w:r w:rsidRPr="00824B2A">
              <w:rPr>
                <w:rFonts w:asciiTheme="minorHAnsi" w:hAnsiTheme="minorHAnsi"/>
              </w:rPr>
              <w:t>113,88</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0"/>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2.7.</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Intelektualne i sl. usluge</w:t>
            </w:r>
          </w:p>
        </w:tc>
        <w:tc>
          <w:tcPr>
            <w:tcW w:w="124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cs="Calibri"/>
              </w:rPr>
              <w:t>570.300</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rPr>
              <w:t>531.151</w:t>
            </w:r>
          </w:p>
        </w:tc>
        <w:tc>
          <w:tcPr>
            <w:tcW w:w="11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right"/>
              <w:rPr>
                <w:rFonts w:asciiTheme="minorHAnsi" w:hAnsiTheme="minorHAnsi"/>
              </w:rPr>
            </w:pPr>
            <w:r w:rsidRPr="00824B2A">
              <w:rPr>
                <w:rFonts w:asciiTheme="minorHAnsi" w:hAnsiTheme="minorHAnsi"/>
              </w:rPr>
              <w:t>93,14</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51"/>
        </w:trPr>
        <w:tc>
          <w:tcPr>
            <w:tcW w:w="80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2.8.</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30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Usluge reklame i propagande</w:t>
            </w:r>
          </w:p>
        </w:tc>
        <w:tc>
          <w:tcPr>
            <w:tcW w:w="124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cs="Calibri"/>
              </w:rPr>
              <w:t>3.575</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933A35">
            <w:pPr>
              <w:widowControl w:val="0"/>
              <w:autoSpaceDE w:val="0"/>
              <w:autoSpaceDN w:val="0"/>
              <w:adjustRightInd w:val="0"/>
              <w:spacing w:after="0" w:line="240" w:lineRule="auto"/>
              <w:ind w:right="120"/>
              <w:jc w:val="right"/>
              <w:rPr>
                <w:rFonts w:asciiTheme="minorHAnsi" w:hAnsiTheme="minorHAnsi"/>
              </w:rPr>
            </w:pPr>
            <w:r w:rsidRPr="00824B2A">
              <w:rPr>
                <w:rFonts w:asciiTheme="minorHAnsi" w:hAnsiTheme="minorHAnsi"/>
              </w:rPr>
              <w:t>12.235</w:t>
            </w:r>
          </w:p>
        </w:tc>
        <w:tc>
          <w:tcPr>
            <w:tcW w:w="1100" w:type="dxa"/>
            <w:gridSpan w:val="2"/>
            <w:tcBorders>
              <w:top w:val="nil"/>
              <w:left w:val="nil"/>
              <w:bottom w:val="single" w:sz="8" w:space="0" w:color="auto"/>
              <w:right w:val="nil"/>
            </w:tcBorders>
            <w:vAlign w:val="bottom"/>
          </w:tcPr>
          <w:p w:rsidR="00824B2A" w:rsidRPr="00824B2A" w:rsidRDefault="00824B2A" w:rsidP="00933A35">
            <w:pPr>
              <w:widowControl w:val="0"/>
              <w:autoSpaceDE w:val="0"/>
              <w:autoSpaceDN w:val="0"/>
              <w:adjustRightInd w:val="0"/>
              <w:spacing w:after="0" w:line="240" w:lineRule="auto"/>
              <w:jc w:val="right"/>
              <w:rPr>
                <w:rFonts w:asciiTheme="minorHAnsi" w:hAnsiTheme="minorHAnsi"/>
              </w:rPr>
            </w:pPr>
            <w:r w:rsidRPr="00824B2A">
              <w:rPr>
                <w:rFonts w:asciiTheme="minorHAnsi" w:hAnsiTheme="minorHAnsi"/>
              </w:rPr>
              <w:t>342,24</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65"/>
        </w:trPr>
        <w:tc>
          <w:tcPr>
            <w:tcW w:w="120" w:type="dxa"/>
            <w:tcBorders>
              <w:top w:val="single" w:sz="8" w:space="0" w:color="F79646"/>
              <w:left w:val="single" w:sz="8" w:space="0" w:color="auto"/>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6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single" w:sz="8" w:space="0" w:color="F79646"/>
              <w:left w:val="nil"/>
              <w:bottom w:val="single" w:sz="8" w:space="0" w:color="auto"/>
              <w:right w:val="single" w:sz="8" w:space="0" w:color="F79646"/>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31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ind w:left="80"/>
              <w:rPr>
                <w:rFonts w:ascii="Times New Roman" w:hAnsi="Times New Roman"/>
                <w:sz w:val="24"/>
                <w:szCs w:val="24"/>
              </w:rPr>
            </w:pPr>
            <w:r w:rsidRPr="00481167">
              <w:rPr>
                <w:rFonts w:cs="Calibri"/>
                <w:b/>
                <w:bCs/>
              </w:rPr>
              <w:t>UKUPNO</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2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60" w:lineRule="exact"/>
              <w:jc w:val="right"/>
              <w:rPr>
                <w:rFonts w:asciiTheme="minorHAnsi" w:hAnsiTheme="minorHAnsi"/>
              </w:rPr>
            </w:pPr>
            <w:r w:rsidRPr="00824B2A">
              <w:rPr>
                <w:rFonts w:asciiTheme="minorHAnsi" w:hAnsiTheme="minorHAnsi" w:cs="Calibri"/>
                <w:b/>
                <w:bCs/>
                <w:w w:val="99"/>
              </w:rPr>
              <w:t>32.571.810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8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2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60" w:lineRule="exact"/>
              <w:jc w:val="right"/>
              <w:rPr>
                <w:rFonts w:asciiTheme="minorHAnsi" w:hAnsiTheme="minorHAnsi"/>
                <w:b/>
              </w:rPr>
            </w:pPr>
            <w:r w:rsidRPr="00824B2A">
              <w:rPr>
                <w:rFonts w:asciiTheme="minorHAnsi" w:hAnsiTheme="minorHAnsi"/>
                <w:b/>
              </w:rPr>
              <w:t>27.460.630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40" w:lineRule="auto"/>
              <w:rPr>
                <w:rFonts w:asciiTheme="minorHAnsi" w:hAnsiTheme="minorHAnsi"/>
              </w:rPr>
            </w:pPr>
          </w:p>
        </w:tc>
        <w:tc>
          <w:tcPr>
            <w:tcW w:w="1000" w:type="dxa"/>
            <w:tcBorders>
              <w:top w:val="single" w:sz="8" w:space="0" w:color="F79646"/>
              <w:left w:val="nil"/>
              <w:bottom w:val="single" w:sz="8" w:space="0" w:color="auto"/>
              <w:right w:val="nil"/>
            </w:tcBorders>
            <w:shd w:val="clear" w:color="auto" w:fill="F79646"/>
            <w:vAlign w:val="bottom"/>
          </w:tcPr>
          <w:p w:rsidR="00824B2A" w:rsidRPr="00824B2A" w:rsidRDefault="00824B2A" w:rsidP="00933A35">
            <w:pPr>
              <w:widowControl w:val="0"/>
              <w:autoSpaceDE w:val="0"/>
              <w:autoSpaceDN w:val="0"/>
              <w:adjustRightInd w:val="0"/>
              <w:spacing w:after="0" w:line="260" w:lineRule="exact"/>
              <w:jc w:val="right"/>
              <w:rPr>
                <w:rFonts w:asciiTheme="minorHAnsi" w:hAnsiTheme="minorHAnsi"/>
                <w:b/>
              </w:rPr>
            </w:pPr>
            <w:r w:rsidRPr="00824B2A">
              <w:rPr>
                <w:rFonts w:asciiTheme="minorHAnsi" w:hAnsiTheme="minorHAnsi"/>
                <w:b/>
              </w:rPr>
              <w:t>84,31</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bl>
    <w:p w:rsidR="00824B2A" w:rsidRDefault="00824B2A" w:rsidP="00C47CD5">
      <w:pPr>
        <w:spacing w:line="240" w:lineRule="auto"/>
        <w:jc w:val="both"/>
        <w:rPr>
          <w:rFonts w:ascii="Times New Roman" w:hAnsi="Times New Roman"/>
          <w:sz w:val="24"/>
          <w:szCs w:val="24"/>
        </w:rPr>
      </w:pPr>
    </w:p>
    <w:p w:rsidR="00824B2A" w:rsidRPr="00824B2A" w:rsidRDefault="00824B2A" w:rsidP="00824B2A">
      <w:pPr>
        <w:widowControl w:val="0"/>
        <w:overflowPunct w:val="0"/>
        <w:autoSpaceDE w:val="0"/>
        <w:autoSpaceDN w:val="0"/>
        <w:adjustRightInd w:val="0"/>
        <w:spacing w:after="0" w:line="240" w:lineRule="auto"/>
        <w:ind w:left="40"/>
        <w:jc w:val="both"/>
        <w:rPr>
          <w:rFonts w:ascii="Times New Roman" w:hAnsi="Times New Roman"/>
          <w:sz w:val="24"/>
          <w:szCs w:val="24"/>
        </w:rPr>
      </w:pPr>
      <w:r w:rsidRPr="00824B2A">
        <w:rPr>
          <w:rFonts w:ascii="Times New Roman" w:hAnsi="Times New Roman"/>
          <w:sz w:val="24"/>
          <w:szCs w:val="24"/>
        </w:rPr>
        <w:t>Prema tablici 9. materijalni troškovi se separiraju u dvije skupine, veći udjel imaju troškovi sirovina i materijala n</w:t>
      </w:r>
      <w:r w:rsidR="002D2F1C">
        <w:rPr>
          <w:rFonts w:ascii="Times New Roman" w:hAnsi="Times New Roman"/>
          <w:sz w:val="24"/>
          <w:szCs w:val="24"/>
        </w:rPr>
        <w:t>aspram ostalih vanjskih troškova</w:t>
      </w:r>
      <w:r w:rsidRPr="00824B2A">
        <w:rPr>
          <w:rFonts w:ascii="Times New Roman" w:hAnsi="Times New Roman"/>
          <w:sz w:val="24"/>
          <w:szCs w:val="24"/>
        </w:rPr>
        <w:t>. Troškovi materijala su se smanjili jer su u odnosu na prethodnu godinu bile manje potrebe za vrstom radova koji zahtijevaju utrošak asfalta i kamenog materijala.</w:t>
      </w:r>
    </w:p>
    <w:p w:rsidR="00824B2A" w:rsidRPr="00824B2A" w:rsidRDefault="00824B2A" w:rsidP="00824B2A">
      <w:pPr>
        <w:widowControl w:val="0"/>
        <w:autoSpaceDE w:val="0"/>
        <w:autoSpaceDN w:val="0"/>
        <w:adjustRightInd w:val="0"/>
        <w:spacing w:after="0" w:line="240" w:lineRule="auto"/>
        <w:jc w:val="both"/>
        <w:rPr>
          <w:rFonts w:ascii="Times New Roman" w:hAnsi="Times New Roman"/>
          <w:sz w:val="24"/>
          <w:szCs w:val="24"/>
        </w:rPr>
      </w:pPr>
    </w:p>
    <w:p w:rsidR="00824B2A" w:rsidRPr="00824B2A" w:rsidRDefault="00824B2A" w:rsidP="00824B2A">
      <w:pPr>
        <w:widowControl w:val="0"/>
        <w:overflowPunct w:val="0"/>
        <w:autoSpaceDE w:val="0"/>
        <w:autoSpaceDN w:val="0"/>
        <w:adjustRightInd w:val="0"/>
        <w:spacing w:after="0" w:line="240" w:lineRule="auto"/>
        <w:ind w:left="40"/>
        <w:jc w:val="both"/>
        <w:rPr>
          <w:rFonts w:ascii="Times New Roman" w:hAnsi="Times New Roman"/>
          <w:sz w:val="24"/>
          <w:szCs w:val="24"/>
        </w:rPr>
      </w:pPr>
      <w:r w:rsidRPr="00824B2A">
        <w:rPr>
          <w:rFonts w:ascii="Times New Roman" w:hAnsi="Times New Roman"/>
          <w:sz w:val="24"/>
          <w:szCs w:val="24"/>
        </w:rPr>
        <w:t>Najveći udio u vanjskim ostalim troškovima čine usluge kooperanata, koji su se u odnosu na prethodnu godinu povećali za 9,59%. Troškovi operativnog leasinga smanjeni su za 1,25%. Troškovi intelektualnih usluga u odnosu na 2014. smanjeni su za 6,86% dok su usluge reklame i propagande povećani u odnosu na 2014. ponajprije zbog oglašavanja starih motornih vozila za prodaju.</w:t>
      </w:r>
    </w:p>
    <w:p w:rsidR="00824B2A" w:rsidRPr="00824B2A" w:rsidRDefault="00824B2A" w:rsidP="00824B2A">
      <w:pPr>
        <w:widowControl w:val="0"/>
        <w:autoSpaceDE w:val="0"/>
        <w:autoSpaceDN w:val="0"/>
        <w:adjustRightInd w:val="0"/>
        <w:spacing w:after="0" w:line="240" w:lineRule="auto"/>
        <w:jc w:val="both"/>
        <w:rPr>
          <w:rFonts w:ascii="Times New Roman" w:hAnsi="Times New Roman"/>
          <w:sz w:val="24"/>
          <w:szCs w:val="24"/>
        </w:rPr>
      </w:pPr>
    </w:p>
    <w:p w:rsidR="00824B2A" w:rsidRDefault="00824B2A" w:rsidP="00C47CD5">
      <w:pPr>
        <w:spacing w:line="240" w:lineRule="auto"/>
        <w:jc w:val="both"/>
        <w:rPr>
          <w:rFonts w:ascii="Times New Roman" w:hAnsi="Times New Roman"/>
          <w:sz w:val="24"/>
          <w:szCs w:val="24"/>
        </w:rPr>
      </w:pPr>
    </w:p>
    <w:p w:rsidR="00824B2A" w:rsidRDefault="00824B2A" w:rsidP="00824B2A">
      <w:pPr>
        <w:widowControl w:val="0"/>
        <w:autoSpaceDE w:val="0"/>
        <w:autoSpaceDN w:val="0"/>
        <w:adjustRightInd w:val="0"/>
        <w:spacing w:after="0" w:line="240" w:lineRule="auto"/>
        <w:ind w:left="40"/>
        <w:rPr>
          <w:rFonts w:cs="Calibri"/>
          <w:sz w:val="32"/>
          <w:szCs w:val="32"/>
        </w:rPr>
      </w:pPr>
    </w:p>
    <w:p w:rsidR="009C6F78" w:rsidRDefault="009C6F78" w:rsidP="007A0CDB">
      <w:pPr>
        <w:widowControl w:val="0"/>
        <w:autoSpaceDE w:val="0"/>
        <w:autoSpaceDN w:val="0"/>
        <w:adjustRightInd w:val="0"/>
        <w:spacing w:after="0" w:line="240" w:lineRule="auto"/>
        <w:rPr>
          <w:rFonts w:cs="Calibri"/>
          <w:sz w:val="32"/>
          <w:szCs w:val="32"/>
        </w:rPr>
      </w:pPr>
    </w:p>
    <w:p w:rsidR="00497AE5" w:rsidRDefault="00497AE5" w:rsidP="007A0CDB">
      <w:pPr>
        <w:widowControl w:val="0"/>
        <w:autoSpaceDE w:val="0"/>
        <w:autoSpaceDN w:val="0"/>
        <w:adjustRightInd w:val="0"/>
        <w:spacing w:after="0" w:line="240" w:lineRule="auto"/>
        <w:rPr>
          <w:rFonts w:cs="Calibri"/>
          <w:sz w:val="32"/>
          <w:szCs w:val="32"/>
        </w:rPr>
      </w:pPr>
    </w:p>
    <w:p w:rsidR="00824B2A" w:rsidRPr="007A0CDB" w:rsidRDefault="00824B2A" w:rsidP="00824B2A">
      <w:pPr>
        <w:widowControl w:val="0"/>
        <w:autoSpaceDE w:val="0"/>
        <w:autoSpaceDN w:val="0"/>
        <w:adjustRightInd w:val="0"/>
        <w:spacing w:after="0" w:line="240" w:lineRule="auto"/>
        <w:ind w:left="40"/>
        <w:rPr>
          <w:rFonts w:ascii="Times New Roman" w:hAnsi="Times New Roman"/>
          <w:b/>
          <w:i/>
          <w:sz w:val="24"/>
          <w:szCs w:val="24"/>
        </w:rPr>
      </w:pPr>
      <w:r w:rsidRPr="007A0CDB">
        <w:rPr>
          <w:rFonts w:cs="Calibri"/>
          <w:b/>
          <w:i/>
          <w:sz w:val="32"/>
          <w:szCs w:val="32"/>
        </w:rPr>
        <w:lastRenderedPageBreak/>
        <w:t>Ostali troškovi</w:t>
      </w:r>
    </w:p>
    <w:p w:rsidR="00824B2A" w:rsidRDefault="00824B2A" w:rsidP="00824B2A">
      <w:pPr>
        <w:widowControl w:val="0"/>
        <w:autoSpaceDE w:val="0"/>
        <w:autoSpaceDN w:val="0"/>
        <w:adjustRightInd w:val="0"/>
        <w:spacing w:after="0" w:line="376" w:lineRule="exact"/>
        <w:rPr>
          <w:rFonts w:ascii="Times New Roman" w:hAnsi="Times New Roman"/>
          <w:sz w:val="24"/>
          <w:szCs w:val="24"/>
        </w:rPr>
      </w:pPr>
    </w:p>
    <w:p w:rsidR="00824B2A" w:rsidRPr="00824B2A" w:rsidRDefault="00824B2A" w:rsidP="00824B2A">
      <w:pPr>
        <w:widowControl w:val="0"/>
        <w:overflowPunct w:val="0"/>
        <w:autoSpaceDE w:val="0"/>
        <w:autoSpaceDN w:val="0"/>
        <w:adjustRightInd w:val="0"/>
        <w:spacing w:after="0" w:line="240" w:lineRule="auto"/>
        <w:ind w:left="40" w:right="20"/>
        <w:jc w:val="both"/>
        <w:rPr>
          <w:rFonts w:ascii="Times New Roman" w:hAnsi="Times New Roman"/>
          <w:sz w:val="24"/>
          <w:szCs w:val="24"/>
        </w:rPr>
      </w:pPr>
      <w:r w:rsidRPr="00824B2A">
        <w:rPr>
          <w:rFonts w:ascii="Times New Roman" w:hAnsi="Times New Roman"/>
          <w:sz w:val="24"/>
          <w:szCs w:val="24"/>
        </w:rPr>
        <w:t>Prema tablici 10. ostali troškovi su iznosili 2,6 mil. kuna, odnosno 16,33% manje nego u prethodnoj poslovnoj godini kada su iznosili 3,1 mil. kuna.</w:t>
      </w:r>
    </w:p>
    <w:p w:rsidR="00824B2A" w:rsidRDefault="00824B2A" w:rsidP="00824B2A">
      <w:pPr>
        <w:widowControl w:val="0"/>
        <w:autoSpaceDE w:val="0"/>
        <w:autoSpaceDN w:val="0"/>
        <w:adjustRightInd w:val="0"/>
        <w:spacing w:after="0" w:line="270" w:lineRule="exact"/>
        <w:rPr>
          <w:rFonts w:ascii="Times New Roman" w:hAnsi="Times New Roman"/>
          <w:sz w:val="24"/>
          <w:szCs w:val="24"/>
        </w:rPr>
      </w:pPr>
    </w:p>
    <w:p w:rsidR="00824B2A" w:rsidRDefault="00824B2A" w:rsidP="00824B2A">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10. Ostali troškovi</w:t>
      </w:r>
    </w:p>
    <w:tbl>
      <w:tblPr>
        <w:tblW w:w="0" w:type="auto"/>
        <w:tblInd w:w="10" w:type="dxa"/>
        <w:tblLayout w:type="fixed"/>
        <w:tblCellMar>
          <w:left w:w="0" w:type="dxa"/>
          <w:right w:w="0" w:type="dxa"/>
        </w:tblCellMar>
        <w:tblLook w:val="0000" w:firstRow="0" w:lastRow="0" w:firstColumn="0" w:lastColumn="0" w:noHBand="0" w:noVBand="0"/>
      </w:tblPr>
      <w:tblGrid>
        <w:gridCol w:w="120"/>
        <w:gridCol w:w="740"/>
        <w:gridCol w:w="120"/>
        <w:gridCol w:w="80"/>
        <w:gridCol w:w="3540"/>
        <w:gridCol w:w="120"/>
        <w:gridCol w:w="100"/>
        <w:gridCol w:w="900"/>
        <w:gridCol w:w="120"/>
        <w:gridCol w:w="100"/>
        <w:gridCol w:w="900"/>
        <w:gridCol w:w="120"/>
        <w:gridCol w:w="100"/>
        <w:gridCol w:w="1000"/>
        <w:gridCol w:w="120"/>
        <w:gridCol w:w="30"/>
      </w:tblGrid>
      <w:tr w:rsidR="00824B2A" w:rsidRPr="00481167" w:rsidTr="00933A35">
        <w:trPr>
          <w:trHeight w:val="180"/>
        </w:trPr>
        <w:tc>
          <w:tcPr>
            <w:tcW w:w="120" w:type="dxa"/>
            <w:tcBorders>
              <w:top w:val="single" w:sz="8" w:space="0" w:color="auto"/>
              <w:left w:val="single" w:sz="8" w:space="0" w:color="auto"/>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74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sz w:val="24"/>
                <w:szCs w:val="24"/>
              </w:rPr>
              <w:t>Red.br.</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354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ind w:left="1500"/>
              <w:rPr>
                <w:rFonts w:ascii="Times New Roman" w:hAnsi="Times New Roman"/>
                <w:sz w:val="24"/>
                <w:szCs w:val="24"/>
              </w:rPr>
            </w:pPr>
            <w:r w:rsidRPr="00481167">
              <w:rPr>
                <w:rFonts w:cs="Calibri"/>
                <w:b/>
                <w:bCs/>
                <w:color w:val="FFFFFF"/>
                <w:sz w:val="24"/>
                <w:szCs w:val="24"/>
              </w:rPr>
              <w:t>Naziv</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90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ind w:right="46"/>
              <w:jc w:val="right"/>
              <w:rPr>
                <w:rFonts w:ascii="Times New Roman" w:hAnsi="Times New Roman"/>
                <w:sz w:val="24"/>
                <w:szCs w:val="24"/>
              </w:rPr>
            </w:pPr>
            <w:r>
              <w:rPr>
                <w:rFonts w:cs="Calibri"/>
                <w:b/>
                <w:bCs/>
                <w:color w:val="FFFFFF"/>
                <w:sz w:val="24"/>
                <w:szCs w:val="24"/>
              </w:rPr>
              <w:t>2014</w:t>
            </w:r>
            <w:r w:rsidRPr="00481167">
              <w:rPr>
                <w:rFonts w:cs="Calibri"/>
                <w:b/>
                <w:bCs/>
                <w:color w:val="FFFFFF"/>
                <w:sz w:val="24"/>
                <w:szCs w:val="24"/>
              </w:rPr>
              <w:t>.</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90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ind w:right="66"/>
              <w:jc w:val="right"/>
              <w:rPr>
                <w:rFonts w:ascii="Times New Roman" w:hAnsi="Times New Roman"/>
                <w:sz w:val="24"/>
                <w:szCs w:val="24"/>
              </w:rPr>
            </w:pPr>
            <w:r>
              <w:rPr>
                <w:rFonts w:cs="Calibri"/>
                <w:b/>
                <w:bCs/>
                <w:color w:val="FFFFFF"/>
                <w:sz w:val="24"/>
                <w:szCs w:val="24"/>
              </w:rPr>
              <w:t>2015</w:t>
            </w:r>
            <w:r w:rsidRPr="00481167">
              <w:rPr>
                <w:rFonts w:cs="Calibri"/>
                <w:b/>
                <w:bCs/>
                <w:color w:val="FFFFFF"/>
                <w:sz w:val="24"/>
                <w:szCs w:val="24"/>
              </w:rPr>
              <w:t>.</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00" w:type="dxa"/>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1000" w:type="dxa"/>
            <w:vMerge w:val="restart"/>
            <w:tcBorders>
              <w:top w:val="single" w:sz="8" w:space="0" w:color="auto"/>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ind w:right="106"/>
              <w:jc w:val="right"/>
              <w:rPr>
                <w:rFonts w:ascii="Times New Roman" w:hAnsi="Times New Roman"/>
                <w:sz w:val="24"/>
                <w:szCs w:val="24"/>
              </w:rPr>
            </w:pPr>
            <w:r w:rsidRPr="00481167">
              <w:rPr>
                <w:rFonts w:cs="Calibri"/>
                <w:b/>
                <w:bCs/>
                <w:color w:val="FFFFFF"/>
                <w:sz w:val="24"/>
                <w:szCs w:val="24"/>
              </w:rPr>
              <w:t>Index</w:t>
            </w:r>
          </w:p>
        </w:tc>
        <w:tc>
          <w:tcPr>
            <w:tcW w:w="120" w:type="dxa"/>
            <w:tcBorders>
              <w:top w:val="single" w:sz="8" w:space="0" w:color="auto"/>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93"/>
        </w:trPr>
        <w:tc>
          <w:tcPr>
            <w:tcW w:w="120" w:type="dxa"/>
            <w:tcBorders>
              <w:top w:val="nil"/>
              <w:left w:val="single" w:sz="8" w:space="0" w:color="auto"/>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74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54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90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90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1000" w:type="dxa"/>
            <w:vMerge/>
            <w:tcBorders>
              <w:top w:val="nil"/>
              <w:left w:val="nil"/>
              <w:bottom w:val="nil"/>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824B2A">
        <w:trPr>
          <w:trHeight w:val="126"/>
        </w:trPr>
        <w:tc>
          <w:tcPr>
            <w:tcW w:w="120" w:type="dxa"/>
            <w:tcBorders>
              <w:top w:val="nil"/>
              <w:left w:val="single" w:sz="8" w:space="0" w:color="auto"/>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74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8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354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90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90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1000" w:type="dxa"/>
            <w:tcBorders>
              <w:top w:val="nil"/>
              <w:left w:val="nil"/>
              <w:bottom w:val="single" w:sz="8" w:space="0" w:color="auto"/>
              <w:right w:val="nil"/>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120" w:type="dxa"/>
            <w:tcBorders>
              <w:top w:val="nil"/>
              <w:left w:val="nil"/>
              <w:bottom w:val="single" w:sz="8" w:space="0" w:color="auto"/>
              <w:right w:val="single" w:sz="8" w:space="0" w:color="auto"/>
            </w:tcBorders>
            <w:shd w:val="clear" w:color="auto" w:fill="7F7F7F"/>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63"/>
        </w:trPr>
        <w:tc>
          <w:tcPr>
            <w:tcW w:w="120" w:type="dxa"/>
            <w:tcBorders>
              <w:top w:val="single" w:sz="8" w:space="0" w:color="F79646"/>
              <w:left w:val="single" w:sz="8" w:space="0" w:color="auto"/>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74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354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ind w:left="1720"/>
              <w:rPr>
                <w:rFonts w:ascii="Times New Roman" w:hAnsi="Times New Roman"/>
                <w:sz w:val="24"/>
                <w:szCs w:val="24"/>
              </w:rPr>
            </w:pPr>
            <w:r w:rsidRPr="00481167">
              <w:rPr>
                <w:rFonts w:cs="Calibri"/>
              </w:rPr>
              <w:t>1</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90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ind w:right="266"/>
              <w:jc w:val="right"/>
              <w:rPr>
                <w:rFonts w:ascii="Times New Roman" w:hAnsi="Times New Roman"/>
                <w:sz w:val="24"/>
                <w:szCs w:val="24"/>
              </w:rPr>
            </w:pPr>
            <w:r w:rsidRPr="00481167">
              <w:rPr>
                <w:rFonts w:cs="Calibri"/>
              </w:rPr>
              <w:t>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90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ind w:right="286"/>
              <w:jc w:val="right"/>
              <w:rPr>
                <w:rFonts w:ascii="Times New Roman" w:hAnsi="Times New Roman"/>
                <w:sz w:val="24"/>
                <w:szCs w:val="24"/>
              </w:rPr>
            </w:pPr>
            <w:r w:rsidRPr="00481167">
              <w:rPr>
                <w:rFonts w:cs="Calibri"/>
              </w:rPr>
              <w:t>3</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jc w:val="right"/>
              <w:rPr>
                <w:rFonts w:ascii="Times New Roman" w:hAnsi="Times New Roman"/>
                <w:sz w:val="24"/>
                <w:szCs w:val="24"/>
              </w:rPr>
            </w:pPr>
            <w:r w:rsidRPr="00481167">
              <w:rPr>
                <w:rFonts w:cs="Calibri"/>
                <w:w w:val="98"/>
              </w:rPr>
              <w:t>4(3/2*100)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20"/>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1.</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66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Reprezentacija</w:t>
            </w:r>
          </w:p>
        </w:tc>
        <w:tc>
          <w:tcPr>
            <w:tcW w:w="1120" w:type="dxa"/>
            <w:gridSpan w:val="3"/>
            <w:tcBorders>
              <w:top w:val="nil"/>
              <w:left w:val="nil"/>
              <w:bottom w:val="single" w:sz="8" w:space="0" w:color="auto"/>
              <w:right w:val="single" w:sz="8" w:space="0" w:color="auto"/>
            </w:tcBorders>
            <w:vAlign w:val="bottom"/>
          </w:tcPr>
          <w:p w:rsidR="00824B2A" w:rsidRPr="00824B2A" w:rsidRDefault="00824B2A"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rPr>
              <w:t>57.118</w:t>
            </w:r>
          </w:p>
        </w:tc>
        <w:tc>
          <w:tcPr>
            <w:tcW w:w="1120" w:type="dxa"/>
            <w:gridSpan w:val="3"/>
            <w:tcBorders>
              <w:top w:val="nil"/>
              <w:left w:val="nil"/>
              <w:bottom w:val="single" w:sz="8" w:space="0" w:color="auto"/>
              <w:right w:val="single" w:sz="8" w:space="0" w:color="auto"/>
            </w:tcBorders>
            <w:vAlign w:val="bottom"/>
          </w:tcPr>
          <w:p w:rsidR="00824B2A" w:rsidRPr="00824B2A" w:rsidRDefault="00824B2A"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rPr>
              <w:t>56.462</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rPr>
              <w:t>98,85</w:t>
            </w: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21"/>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2.</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66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Premije osiguranja</w:t>
            </w:r>
          </w:p>
        </w:tc>
        <w:tc>
          <w:tcPr>
            <w:tcW w:w="1120" w:type="dxa"/>
            <w:gridSpan w:val="3"/>
            <w:tcBorders>
              <w:top w:val="nil"/>
              <w:left w:val="nil"/>
              <w:bottom w:val="single" w:sz="8" w:space="0" w:color="auto"/>
              <w:right w:val="single" w:sz="8" w:space="0" w:color="auto"/>
            </w:tcBorders>
            <w:vAlign w:val="bottom"/>
          </w:tcPr>
          <w:p w:rsidR="00824B2A" w:rsidRPr="00824B2A" w:rsidRDefault="00824B2A"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rPr>
              <w:t>332.483</w:t>
            </w:r>
          </w:p>
        </w:tc>
        <w:tc>
          <w:tcPr>
            <w:tcW w:w="1120" w:type="dxa"/>
            <w:gridSpan w:val="3"/>
            <w:tcBorders>
              <w:top w:val="nil"/>
              <w:left w:val="nil"/>
              <w:bottom w:val="single" w:sz="8" w:space="0" w:color="auto"/>
              <w:right w:val="single" w:sz="8" w:space="0" w:color="auto"/>
            </w:tcBorders>
            <w:vAlign w:val="bottom"/>
          </w:tcPr>
          <w:p w:rsidR="00824B2A" w:rsidRPr="00824B2A" w:rsidRDefault="00824B2A"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rPr>
              <w:t>185.984</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rPr>
              <w:t>55,94</w:t>
            </w: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20"/>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3.</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66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Troškovi prijevoza i terenskog dodatka</w:t>
            </w:r>
          </w:p>
        </w:tc>
        <w:tc>
          <w:tcPr>
            <w:tcW w:w="1120" w:type="dxa"/>
            <w:gridSpan w:val="3"/>
            <w:tcBorders>
              <w:top w:val="nil"/>
              <w:left w:val="nil"/>
              <w:bottom w:val="single" w:sz="8" w:space="0" w:color="auto"/>
              <w:right w:val="single" w:sz="8" w:space="0" w:color="auto"/>
            </w:tcBorders>
            <w:vAlign w:val="bottom"/>
          </w:tcPr>
          <w:p w:rsidR="00824B2A" w:rsidRPr="00824B2A" w:rsidRDefault="00824B2A"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rPr>
              <w:t>1.613.828</w:t>
            </w:r>
          </w:p>
        </w:tc>
        <w:tc>
          <w:tcPr>
            <w:tcW w:w="1120" w:type="dxa"/>
            <w:gridSpan w:val="3"/>
            <w:tcBorders>
              <w:top w:val="nil"/>
              <w:left w:val="nil"/>
              <w:bottom w:val="single" w:sz="8" w:space="0" w:color="auto"/>
              <w:right w:val="single" w:sz="8" w:space="0" w:color="auto"/>
            </w:tcBorders>
            <w:vAlign w:val="bottom"/>
          </w:tcPr>
          <w:p w:rsidR="00824B2A" w:rsidRPr="00824B2A" w:rsidRDefault="00824B2A"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rPr>
              <w:t>1.239.982</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rPr>
              <w:t>76,83</w:t>
            </w: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20"/>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4.</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66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Ostale naknade troškova zaposlenima</w:t>
            </w:r>
          </w:p>
        </w:tc>
        <w:tc>
          <w:tcPr>
            <w:tcW w:w="1120" w:type="dxa"/>
            <w:gridSpan w:val="3"/>
            <w:tcBorders>
              <w:top w:val="nil"/>
              <w:left w:val="nil"/>
              <w:bottom w:val="single" w:sz="8" w:space="0" w:color="auto"/>
              <w:right w:val="single" w:sz="8" w:space="0" w:color="auto"/>
            </w:tcBorders>
            <w:vAlign w:val="bottom"/>
          </w:tcPr>
          <w:p w:rsidR="00824B2A" w:rsidRPr="00824B2A" w:rsidRDefault="00824B2A"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rPr>
              <w:t>795.323</w:t>
            </w:r>
          </w:p>
        </w:tc>
        <w:tc>
          <w:tcPr>
            <w:tcW w:w="1120" w:type="dxa"/>
            <w:gridSpan w:val="3"/>
            <w:tcBorders>
              <w:top w:val="nil"/>
              <w:left w:val="nil"/>
              <w:bottom w:val="single" w:sz="8" w:space="0" w:color="auto"/>
              <w:right w:val="single" w:sz="8" w:space="0" w:color="auto"/>
            </w:tcBorders>
            <w:vAlign w:val="bottom"/>
          </w:tcPr>
          <w:p w:rsidR="00824B2A" w:rsidRPr="00824B2A" w:rsidRDefault="00824B2A"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rPr>
              <w:t>686.987</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rPr>
              <w:t>86,38</w:t>
            </w: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382"/>
        </w:trPr>
        <w:tc>
          <w:tcPr>
            <w:tcW w:w="860" w:type="dxa"/>
            <w:gridSpan w:val="2"/>
            <w:tcBorders>
              <w:top w:val="nil"/>
              <w:left w:val="single" w:sz="8" w:space="0" w:color="auto"/>
              <w:bottom w:val="single" w:sz="8" w:space="0" w:color="auto"/>
              <w:right w:val="nil"/>
            </w:tcBorders>
            <w:vAlign w:val="bottom"/>
          </w:tcPr>
          <w:p w:rsidR="00824B2A" w:rsidRPr="00481167" w:rsidRDefault="00824B2A"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5.</w:t>
            </w:r>
          </w:p>
        </w:tc>
        <w:tc>
          <w:tcPr>
            <w:tcW w:w="120" w:type="dxa"/>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4"/>
                <w:szCs w:val="24"/>
              </w:rPr>
            </w:pPr>
          </w:p>
        </w:tc>
        <w:tc>
          <w:tcPr>
            <w:tcW w:w="3660" w:type="dxa"/>
            <w:gridSpan w:val="2"/>
            <w:tcBorders>
              <w:top w:val="nil"/>
              <w:left w:val="nil"/>
              <w:bottom w:val="single" w:sz="8" w:space="0" w:color="auto"/>
              <w:right w:val="single" w:sz="8" w:space="0" w:color="auto"/>
            </w:tcBorders>
            <w:vAlign w:val="bottom"/>
          </w:tcPr>
          <w:p w:rsidR="00824B2A" w:rsidRPr="00481167" w:rsidRDefault="00824B2A"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Ostali nespecificirani troškovi</w:t>
            </w:r>
          </w:p>
        </w:tc>
        <w:tc>
          <w:tcPr>
            <w:tcW w:w="1120" w:type="dxa"/>
            <w:gridSpan w:val="3"/>
            <w:tcBorders>
              <w:top w:val="nil"/>
              <w:left w:val="nil"/>
              <w:bottom w:val="single" w:sz="8" w:space="0" w:color="auto"/>
              <w:right w:val="single" w:sz="8" w:space="0" w:color="auto"/>
            </w:tcBorders>
            <w:vAlign w:val="bottom"/>
          </w:tcPr>
          <w:p w:rsidR="00824B2A" w:rsidRPr="00824B2A" w:rsidRDefault="00824B2A"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rPr>
              <w:t>391.762</w:t>
            </w:r>
          </w:p>
        </w:tc>
        <w:tc>
          <w:tcPr>
            <w:tcW w:w="1120" w:type="dxa"/>
            <w:gridSpan w:val="3"/>
            <w:tcBorders>
              <w:top w:val="nil"/>
              <w:left w:val="nil"/>
              <w:bottom w:val="single" w:sz="8" w:space="0" w:color="auto"/>
              <w:right w:val="single" w:sz="8" w:space="0" w:color="auto"/>
            </w:tcBorders>
            <w:vAlign w:val="bottom"/>
          </w:tcPr>
          <w:p w:rsidR="00824B2A" w:rsidRPr="00824B2A" w:rsidRDefault="00824B2A"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cs="Calibri"/>
              </w:rPr>
              <w:t>500.127</w:t>
            </w:r>
          </w:p>
        </w:tc>
        <w:tc>
          <w:tcPr>
            <w:tcW w:w="1220" w:type="dxa"/>
            <w:gridSpan w:val="3"/>
            <w:tcBorders>
              <w:top w:val="nil"/>
              <w:left w:val="nil"/>
              <w:bottom w:val="single" w:sz="8" w:space="0" w:color="auto"/>
              <w:right w:val="single" w:sz="8" w:space="0" w:color="auto"/>
            </w:tcBorders>
            <w:vAlign w:val="bottom"/>
          </w:tcPr>
          <w:p w:rsidR="00824B2A" w:rsidRPr="00824B2A" w:rsidRDefault="00824B2A" w:rsidP="00824B2A">
            <w:pPr>
              <w:widowControl w:val="0"/>
              <w:autoSpaceDE w:val="0"/>
              <w:autoSpaceDN w:val="0"/>
              <w:adjustRightInd w:val="0"/>
              <w:spacing w:after="0" w:line="267" w:lineRule="exact"/>
              <w:ind w:right="120"/>
              <w:jc w:val="right"/>
              <w:rPr>
                <w:rFonts w:asciiTheme="minorHAnsi" w:hAnsiTheme="minorHAnsi"/>
              </w:rPr>
            </w:pPr>
            <w:r w:rsidRPr="00824B2A">
              <w:rPr>
                <w:rFonts w:asciiTheme="minorHAnsi" w:hAnsiTheme="minorHAnsi"/>
              </w:rPr>
              <w:t>127,66</w:t>
            </w: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r w:rsidR="00824B2A" w:rsidRPr="00481167" w:rsidTr="00933A35">
        <w:trPr>
          <w:trHeight w:val="263"/>
        </w:trPr>
        <w:tc>
          <w:tcPr>
            <w:tcW w:w="120" w:type="dxa"/>
            <w:tcBorders>
              <w:top w:val="single" w:sz="8" w:space="0" w:color="F79646"/>
              <w:left w:val="single" w:sz="8" w:space="0" w:color="auto"/>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74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20" w:type="dxa"/>
            <w:tcBorders>
              <w:top w:val="single" w:sz="8" w:space="0" w:color="F79646"/>
              <w:left w:val="nil"/>
              <w:bottom w:val="single" w:sz="8" w:space="0" w:color="auto"/>
              <w:right w:val="single" w:sz="8" w:space="0" w:color="F79646"/>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8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3540" w:type="dxa"/>
            <w:tcBorders>
              <w:top w:val="single" w:sz="8" w:space="0" w:color="F79646"/>
              <w:left w:val="nil"/>
              <w:bottom w:val="single" w:sz="8" w:space="0" w:color="auto"/>
              <w:right w:val="nil"/>
            </w:tcBorders>
            <w:shd w:val="clear" w:color="auto" w:fill="F79646"/>
            <w:vAlign w:val="bottom"/>
          </w:tcPr>
          <w:p w:rsidR="00824B2A" w:rsidRPr="00481167" w:rsidRDefault="00824B2A" w:rsidP="00933A35">
            <w:pPr>
              <w:widowControl w:val="0"/>
              <w:autoSpaceDE w:val="0"/>
              <w:autoSpaceDN w:val="0"/>
              <w:adjustRightInd w:val="0"/>
              <w:spacing w:after="0" w:line="260" w:lineRule="exact"/>
              <w:ind w:left="60"/>
              <w:rPr>
                <w:rFonts w:ascii="Times New Roman" w:hAnsi="Times New Roman"/>
                <w:sz w:val="24"/>
                <w:szCs w:val="24"/>
              </w:rPr>
            </w:pPr>
            <w:r w:rsidRPr="00481167">
              <w:rPr>
                <w:rFonts w:cs="Calibri"/>
                <w:b/>
                <w:bCs/>
              </w:rPr>
              <w:t>UKUPNO</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824B2A" w:rsidRPr="00824B2A" w:rsidRDefault="00824B2A" w:rsidP="00824B2A">
            <w:pPr>
              <w:widowControl w:val="0"/>
              <w:autoSpaceDE w:val="0"/>
              <w:autoSpaceDN w:val="0"/>
              <w:adjustRightInd w:val="0"/>
              <w:spacing w:after="0" w:line="240" w:lineRule="auto"/>
              <w:jc w:val="right"/>
              <w:rPr>
                <w:rFonts w:asciiTheme="minorHAnsi" w:hAnsiTheme="minorHAnsi"/>
              </w:rPr>
            </w:pPr>
          </w:p>
        </w:tc>
        <w:tc>
          <w:tcPr>
            <w:tcW w:w="900" w:type="dxa"/>
            <w:tcBorders>
              <w:top w:val="single" w:sz="8" w:space="0" w:color="F79646"/>
              <w:left w:val="nil"/>
              <w:bottom w:val="single" w:sz="8" w:space="0" w:color="auto"/>
              <w:right w:val="nil"/>
            </w:tcBorders>
            <w:shd w:val="clear" w:color="auto" w:fill="F79646"/>
            <w:vAlign w:val="bottom"/>
          </w:tcPr>
          <w:p w:rsidR="00824B2A" w:rsidRPr="00824B2A" w:rsidRDefault="00824B2A" w:rsidP="00824B2A">
            <w:pPr>
              <w:widowControl w:val="0"/>
              <w:autoSpaceDE w:val="0"/>
              <w:autoSpaceDN w:val="0"/>
              <w:adjustRightInd w:val="0"/>
              <w:spacing w:after="0" w:line="260" w:lineRule="exact"/>
              <w:jc w:val="right"/>
              <w:rPr>
                <w:rFonts w:asciiTheme="minorHAnsi" w:hAnsiTheme="minorHAnsi"/>
              </w:rPr>
            </w:pPr>
            <w:r w:rsidRPr="00824B2A">
              <w:rPr>
                <w:rFonts w:asciiTheme="minorHAnsi" w:hAnsiTheme="minorHAnsi" w:cs="Calibri"/>
                <w:b/>
                <w:bCs/>
                <w:w w:val="97"/>
              </w:rPr>
              <w:t>3.190.514</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824B2A" w:rsidRDefault="00824B2A" w:rsidP="00824B2A">
            <w:pPr>
              <w:widowControl w:val="0"/>
              <w:autoSpaceDE w:val="0"/>
              <w:autoSpaceDN w:val="0"/>
              <w:adjustRightInd w:val="0"/>
              <w:spacing w:after="0" w:line="240" w:lineRule="auto"/>
              <w:jc w:val="right"/>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824B2A" w:rsidRPr="00824B2A" w:rsidRDefault="00824B2A" w:rsidP="00824B2A">
            <w:pPr>
              <w:widowControl w:val="0"/>
              <w:autoSpaceDE w:val="0"/>
              <w:autoSpaceDN w:val="0"/>
              <w:adjustRightInd w:val="0"/>
              <w:spacing w:after="0" w:line="240" w:lineRule="auto"/>
              <w:jc w:val="right"/>
              <w:rPr>
                <w:rFonts w:asciiTheme="minorHAnsi" w:hAnsiTheme="minorHAnsi"/>
              </w:rPr>
            </w:pPr>
          </w:p>
        </w:tc>
        <w:tc>
          <w:tcPr>
            <w:tcW w:w="900" w:type="dxa"/>
            <w:tcBorders>
              <w:top w:val="single" w:sz="8" w:space="0" w:color="F79646"/>
              <w:left w:val="nil"/>
              <w:bottom w:val="single" w:sz="8" w:space="0" w:color="auto"/>
              <w:right w:val="nil"/>
            </w:tcBorders>
            <w:shd w:val="clear" w:color="auto" w:fill="F79646"/>
            <w:vAlign w:val="bottom"/>
          </w:tcPr>
          <w:p w:rsidR="00824B2A" w:rsidRPr="00824B2A" w:rsidRDefault="00824B2A" w:rsidP="00824B2A">
            <w:pPr>
              <w:widowControl w:val="0"/>
              <w:autoSpaceDE w:val="0"/>
              <w:autoSpaceDN w:val="0"/>
              <w:adjustRightInd w:val="0"/>
              <w:spacing w:after="0" w:line="260" w:lineRule="exact"/>
              <w:jc w:val="right"/>
              <w:rPr>
                <w:rFonts w:asciiTheme="minorHAnsi" w:hAnsiTheme="minorHAnsi"/>
              </w:rPr>
            </w:pPr>
            <w:r w:rsidRPr="00824B2A">
              <w:rPr>
                <w:rFonts w:asciiTheme="minorHAnsi" w:hAnsiTheme="minorHAnsi" w:cs="Calibri"/>
                <w:b/>
                <w:bCs/>
                <w:w w:val="97"/>
              </w:rPr>
              <w:t>2.669.542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824B2A" w:rsidRDefault="00824B2A" w:rsidP="00824B2A">
            <w:pPr>
              <w:widowControl w:val="0"/>
              <w:autoSpaceDE w:val="0"/>
              <w:autoSpaceDN w:val="0"/>
              <w:adjustRightInd w:val="0"/>
              <w:spacing w:after="0" w:line="240" w:lineRule="auto"/>
              <w:jc w:val="right"/>
              <w:rPr>
                <w:rFonts w:asciiTheme="minorHAnsi" w:hAnsiTheme="minorHAnsi"/>
              </w:rPr>
            </w:pPr>
          </w:p>
        </w:tc>
        <w:tc>
          <w:tcPr>
            <w:tcW w:w="100" w:type="dxa"/>
            <w:tcBorders>
              <w:top w:val="single" w:sz="8" w:space="0" w:color="F79646"/>
              <w:left w:val="nil"/>
              <w:bottom w:val="single" w:sz="8" w:space="0" w:color="auto"/>
              <w:right w:val="nil"/>
            </w:tcBorders>
            <w:shd w:val="clear" w:color="auto" w:fill="F79646"/>
            <w:vAlign w:val="bottom"/>
          </w:tcPr>
          <w:p w:rsidR="00824B2A" w:rsidRPr="00824B2A" w:rsidRDefault="00824B2A" w:rsidP="00824B2A">
            <w:pPr>
              <w:widowControl w:val="0"/>
              <w:autoSpaceDE w:val="0"/>
              <w:autoSpaceDN w:val="0"/>
              <w:adjustRightInd w:val="0"/>
              <w:spacing w:after="0" w:line="240" w:lineRule="auto"/>
              <w:jc w:val="right"/>
              <w:rPr>
                <w:rFonts w:asciiTheme="minorHAnsi" w:hAnsiTheme="minorHAnsi"/>
              </w:rPr>
            </w:pPr>
          </w:p>
        </w:tc>
        <w:tc>
          <w:tcPr>
            <w:tcW w:w="1000" w:type="dxa"/>
            <w:tcBorders>
              <w:top w:val="single" w:sz="8" w:space="0" w:color="F79646"/>
              <w:left w:val="nil"/>
              <w:bottom w:val="single" w:sz="8" w:space="0" w:color="auto"/>
              <w:right w:val="nil"/>
            </w:tcBorders>
            <w:shd w:val="clear" w:color="auto" w:fill="F79646"/>
            <w:vAlign w:val="bottom"/>
          </w:tcPr>
          <w:p w:rsidR="00824B2A" w:rsidRPr="00824B2A" w:rsidRDefault="00824B2A" w:rsidP="00824B2A">
            <w:pPr>
              <w:widowControl w:val="0"/>
              <w:autoSpaceDE w:val="0"/>
              <w:autoSpaceDN w:val="0"/>
              <w:adjustRightInd w:val="0"/>
              <w:spacing w:after="0" w:line="260" w:lineRule="exact"/>
              <w:jc w:val="right"/>
              <w:rPr>
                <w:rFonts w:asciiTheme="minorHAnsi" w:hAnsiTheme="minorHAnsi"/>
                <w:b/>
              </w:rPr>
            </w:pPr>
            <w:r w:rsidRPr="00824B2A">
              <w:rPr>
                <w:rFonts w:asciiTheme="minorHAnsi" w:hAnsiTheme="minorHAnsi"/>
                <w:b/>
              </w:rPr>
              <w:t>83,67</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824B2A" w:rsidRPr="00481167" w:rsidRDefault="00824B2A" w:rsidP="00933A35">
            <w:pPr>
              <w:widowControl w:val="0"/>
              <w:autoSpaceDE w:val="0"/>
              <w:autoSpaceDN w:val="0"/>
              <w:adjustRightInd w:val="0"/>
              <w:spacing w:after="0" w:line="240" w:lineRule="auto"/>
              <w:rPr>
                <w:rFonts w:ascii="Times New Roman" w:hAnsi="Times New Roman"/>
                <w:sz w:val="2"/>
                <w:szCs w:val="2"/>
              </w:rPr>
            </w:pPr>
          </w:p>
        </w:tc>
      </w:tr>
    </w:tbl>
    <w:p w:rsidR="00824B2A" w:rsidRDefault="00824B2A" w:rsidP="00C47CD5">
      <w:pPr>
        <w:spacing w:line="240" w:lineRule="auto"/>
        <w:jc w:val="both"/>
        <w:rPr>
          <w:rFonts w:ascii="Times New Roman" w:hAnsi="Times New Roman"/>
          <w:sz w:val="24"/>
          <w:szCs w:val="24"/>
        </w:rPr>
      </w:pPr>
    </w:p>
    <w:p w:rsidR="00824B2A" w:rsidRPr="00824B2A" w:rsidRDefault="00824B2A" w:rsidP="00824B2A">
      <w:pPr>
        <w:widowControl w:val="0"/>
        <w:overflowPunct w:val="0"/>
        <w:autoSpaceDE w:val="0"/>
        <w:autoSpaceDN w:val="0"/>
        <w:adjustRightInd w:val="0"/>
        <w:spacing w:after="0" w:line="240" w:lineRule="auto"/>
        <w:ind w:left="40" w:right="20"/>
        <w:jc w:val="both"/>
        <w:rPr>
          <w:rFonts w:ascii="Times New Roman" w:hAnsi="Times New Roman"/>
          <w:sz w:val="24"/>
          <w:szCs w:val="24"/>
        </w:rPr>
      </w:pPr>
      <w:r w:rsidRPr="00824B2A">
        <w:rPr>
          <w:rFonts w:ascii="Times New Roman" w:hAnsi="Times New Roman"/>
          <w:sz w:val="24"/>
          <w:szCs w:val="24"/>
        </w:rPr>
        <w:t>Raščlanjivanjem ostalih troškova, dobili smo pet vrsta troškova, od kojih je najveći pad imao trošak premija osiguranja, čak 44%. Troškovi prijevoza i terenskog dodatka su smanjeni za 23% uslijed promjene koletivnog ugovora</w:t>
      </w:r>
      <w:r w:rsidR="0092363D">
        <w:rPr>
          <w:rFonts w:ascii="Times New Roman" w:hAnsi="Times New Roman"/>
          <w:sz w:val="24"/>
          <w:szCs w:val="24"/>
        </w:rPr>
        <w:t xml:space="preserve">, te primjene novog načina obračuna troškova prijevoza za djelatnike. </w:t>
      </w:r>
      <w:r w:rsidRPr="00824B2A">
        <w:rPr>
          <w:rFonts w:ascii="Times New Roman" w:hAnsi="Times New Roman"/>
          <w:sz w:val="24"/>
          <w:szCs w:val="24"/>
        </w:rPr>
        <w:t>Ostale naknade troškova zaposlenima odnose se na isplatu otpremnina za 8 radnika s kojima su raskinuti ugovori o radu u 2015. te ostale naknade koje se isplaćuju s osnove kolektivnog ugovora.</w:t>
      </w:r>
    </w:p>
    <w:p w:rsidR="007A0CDB" w:rsidRDefault="007A0CDB" w:rsidP="00824B2A">
      <w:pPr>
        <w:widowControl w:val="0"/>
        <w:autoSpaceDE w:val="0"/>
        <w:autoSpaceDN w:val="0"/>
        <w:adjustRightInd w:val="0"/>
        <w:spacing w:after="0" w:line="240" w:lineRule="auto"/>
        <w:rPr>
          <w:rFonts w:cs="Calibri"/>
          <w:b/>
          <w:i/>
          <w:sz w:val="32"/>
          <w:szCs w:val="32"/>
        </w:rPr>
      </w:pPr>
    </w:p>
    <w:p w:rsidR="00824B2A" w:rsidRPr="007A0CDB" w:rsidRDefault="00824B2A" w:rsidP="00824B2A">
      <w:pPr>
        <w:widowControl w:val="0"/>
        <w:autoSpaceDE w:val="0"/>
        <w:autoSpaceDN w:val="0"/>
        <w:adjustRightInd w:val="0"/>
        <w:spacing w:after="0" w:line="240" w:lineRule="auto"/>
        <w:rPr>
          <w:rFonts w:ascii="Times New Roman" w:hAnsi="Times New Roman"/>
          <w:b/>
          <w:i/>
          <w:sz w:val="24"/>
          <w:szCs w:val="24"/>
        </w:rPr>
      </w:pPr>
      <w:r w:rsidRPr="007A0CDB">
        <w:rPr>
          <w:rFonts w:cs="Calibri"/>
          <w:b/>
          <w:i/>
          <w:sz w:val="32"/>
          <w:szCs w:val="32"/>
        </w:rPr>
        <w:t>Prikaz ukupnih prihoda, rashoda i dobiti Društva</w:t>
      </w:r>
    </w:p>
    <w:p w:rsidR="00824B2A" w:rsidRDefault="00824B2A" w:rsidP="00824B2A">
      <w:pPr>
        <w:widowControl w:val="0"/>
        <w:autoSpaceDE w:val="0"/>
        <w:autoSpaceDN w:val="0"/>
        <w:adjustRightInd w:val="0"/>
        <w:spacing w:after="0" w:line="376" w:lineRule="exact"/>
        <w:rPr>
          <w:rFonts w:ascii="Times New Roman" w:hAnsi="Times New Roman"/>
          <w:sz w:val="24"/>
          <w:szCs w:val="24"/>
        </w:rPr>
      </w:pPr>
    </w:p>
    <w:p w:rsidR="00824B2A" w:rsidRDefault="00824B2A" w:rsidP="00824B2A">
      <w:pPr>
        <w:widowControl w:val="0"/>
        <w:overflowPunct w:val="0"/>
        <w:autoSpaceDE w:val="0"/>
        <w:autoSpaceDN w:val="0"/>
        <w:adjustRightInd w:val="0"/>
        <w:spacing w:after="0" w:line="240" w:lineRule="auto"/>
        <w:ind w:left="40" w:right="20"/>
        <w:jc w:val="both"/>
        <w:rPr>
          <w:rFonts w:ascii="Times New Roman" w:hAnsi="Times New Roman"/>
          <w:sz w:val="24"/>
          <w:szCs w:val="24"/>
        </w:rPr>
      </w:pPr>
      <w:r>
        <w:rPr>
          <w:rFonts w:ascii="Times New Roman" w:hAnsi="Times New Roman"/>
          <w:sz w:val="24"/>
          <w:szCs w:val="24"/>
        </w:rPr>
        <w:t>Slijedeć</w:t>
      </w:r>
      <w:r w:rsidRPr="00824B2A">
        <w:rPr>
          <w:rFonts w:ascii="Times New Roman" w:hAnsi="Times New Roman"/>
          <w:sz w:val="24"/>
          <w:szCs w:val="24"/>
        </w:rPr>
        <w:t xml:space="preserve">im grafikonom prikazuje se rezime ukupnih prihoda, rashoda te dobiti </w:t>
      </w:r>
      <w:r>
        <w:rPr>
          <w:rFonts w:ascii="Times New Roman" w:hAnsi="Times New Roman"/>
          <w:sz w:val="24"/>
          <w:szCs w:val="24"/>
        </w:rPr>
        <w:t>koju je Društ</w:t>
      </w:r>
      <w:r w:rsidR="00A37D19">
        <w:rPr>
          <w:rFonts w:ascii="Times New Roman" w:hAnsi="Times New Roman"/>
          <w:sz w:val="24"/>
          <w:szCs w:val="24"/>
        </w:rPr>
        <w:t>vo ostvarilo u 2015. uspoređujuć</w:t>
      </w:r>
      <w:r>
        <w:rPr>
          <w:rFonts w:ascii="Times New Roman" w:hAnsi="Times New Roman"/>
          <w:sz w:val="24"/>
          <w:szCs w:val="24"/>
        </w:rPr>
        <w:t>i sa 2014</w:t>
      </w:r>
      <w:r w:rsidRPr="00824B2A">
        <w:rPr>
          <w:rFonts w:ascii="Times New Roman" w:hAnsi="Times New Roman"/>
          <w:sz w:val="24"/>
          <w:szCs w:val="24"/>
        </w:rPr>
        <w:t>. godinom.</w:t>
      </w:r>
    </w:p>
    <w:p w:rsidR="00C81790" w:rsidRDefault="00C81790" w:rsidP="00824B2A">
      <w:pPr>
        <w:widowControl w:val="0"/>
        <w:overflowPunct w:val="0"/>
        <w:autoSpaceDE w:val="0"/>
        <w:autoSpaceDN w:val="0"/>
        <w:adjustRightInd w:val="0"/>
        <w:spacing w:after="0" w:line="240" w:lineRule="auto"/>
        <w:ind w:left="40" w:right="20"/>
        <w:jc w:val="both"/>
        <w:rPr>
          <w:rFonts w:ascii="Times New Roman" w:hAnsi="Times New Roman"/>
          <w:sz w:val="24"/>
          <w:szCs w:val="24"/>
        </w:rPr>
      </w:pPr>
    </w:p>
    <w:p w:rsidR="00C81790" w:rsidRDefault="00C81790" w:rsidP="00C81790">
      <w:pPr>
        <w:widowControl w:val="0"/>
        <w:autoSpaceDE w:val="0"/>
        <w:autoSpaceDN w:val="0"/>
        <w:adjustRightInd w:val="0"/>
        <w:spacing w:after="0" w:line="240" w:lineRule="auto"/>
        <w:ind w:left="40"/>
        <w:rPr>
          <w:rFonts w:cs="Calibri"/>
          <w:b/>
          <w:bCs/>
        </w:rPr>
      </w:pPr>
      <w:r>
        <w:rPr>
          <w:rFonts w:cs="Calibri"/>
          <w:b/>
          <w:bCs/>
        </w:rPr>
        <w:t>Grafikon 2. Ukupni prihodi, rashodi i dobit Društva od 2014.-2015. godine</w:t>
      </w:r>
    </w:p>
    <w:p w:rsidR="00C81790" w:rsidRDefault="00C81790" w:rsidP="00C81790">
      <w:pPr>
        <w:widowControl w:val="0"/>
        <w:autoSpaceDE w:val="0"/>
        <w:autoSpaceDN w:val="0"/>
        <w:adjustRightInd w:val="0"/>
        <w:spacing w:after="0" w:line="240" w:lineRule="auto"/>
        <w:ind w:left="40"/>
        <w:rPr>
          <w:rFonts w:cs="Calibri"/>
          <w:b/>
          <w:bCs/>
        </w:rPr>
      </w:pPr>
      <w:r w:rsidRPr="00C81790">
        <w:rPr>
          <w:rFonts w:cs="Calibri"/>
          <w:b/>
          <w:bCs/>
          <w:noProof/>
        </w:rPr>
        <w:drawing>
          <wp:inline distT="0" distB="0" distL="0" distR="0">
            <wp:extent cx="5553075" cy="2228850"/>
            <wp:effectExtent l="1905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A0CDB" w:rsidRDefault="007A0CDB" w:rsidP="007A0CDB">
      <w:pPr>
        <w:widowControl w:val="0"/>
        <w:overflowPunct w:val="0"/>
        <w:autoSpaceDE w:val="0"/>
        <w:autoSpaceDN w:val="0"/>
        <w:adjustRightInd w:val="0"/>
        <w:spacing w:after="0" w:line="240" w:lineRule="auto"/>
        <w:jc w:val="both"/>
        <w:rPr>
          <w:rFonts w:ascii="Times New Roman" w:hAnsi="Times New Roman"/>
          <w:sz w:val="24"/>
          <w:szCs w:val="24"/>
        </w:rPr>
      </w:pPr>
    </w:p>
    <w:p w:rsidR="00C81790" w:rsidRPr="00C81790" w:rsidRDefault="00C81790" w:rsidP="00C81790">
      <w:pPr>
        <w:widowControl w:val="0"/>
        <w:overflowPunct w:val="0"/>
        <w:autoSpaceDE w:val="0"/>
        <w:autoSpaceDN w:val="0"/>
        <w:adjustRightInd w:val="0"/>
        <w:spacing w:after="0" w:line="240" w:lineRule="auto"/>
        <w:ind w:left="40"/>
        <w:jc w:val="both"/>
        <w:rPr>
          <w:rFonts w:ascii="Times New Roman" w:hAnsi="Times New Roman"/>
          <w:sz w:val="24"/>
          <w:szCs w:val="24"/>
        </w:rPr>
      </w:pPr>
      <w:r w:rsidRPr="00C81790">
        <w:rPr>
          <w:rFonts w:ascii="Times New Roman" w:hAnsi="Times New Roman"/>
          <w:sz w:val="24"/>
          <w:szCs w:val="24"/>
        </w:rPr>
        <w:t>U cjelokupnom promatranom razdoblju Društvo ostvaruje pozitivan poslovni rezultat, 31% veći ne</w:t>
      </w:r>
      <w:r w:rsidR="007A0CDB">
        <w:rPr>
          <w:rFonts w:ascii="Times New Roman" w:hAnsi="Times New Roman"/>
          <w:sz w:val="24"/>
          <w:szCs w:val="24"/>
        </w:rPr>
        <w:t>go u 2014. godini, što mu omoguć</w:t>
      </w:r>
      <w:r w:rsidRPr="00C81790">
        <w:rPr>
          <w:rFonts w:ascii="Times New Roman" w:hAnsi="Times New Roman"/>
          <w:sz w:val="24"/>
          <w:szCs w:val="24"/>
        </w:rPr>
        <w:t>uje daljnju stabilnost poslovanja.</w:t>
      </w:r>
    </w:p>
    <w:p w:rsidR="00DC64CF" w:rsidRDefault="00DC64CF" w:rsidP="00DC64CF">
      <w:pPr>
        <w:widowControl w:val="0"/>
        <w:autoSpaceDE w:val="0"/>
        <w:autoSpaceDN w:val="0"/>
        <w:adjustRightInd w:val="0"/>
        <w:spacing w:after="0" w:line="240" w:lineRule="auto"/>
        <w:ind w:left="40"/>
        <w:rPr>
          <w:rFonts w:ascii="Times New Roman" w:hAnsi="Times New Roman"/>
          <w:sz w:val="24"/>
          <w:szCs w:val="24"/>
        </w:rPr>
      </w:pPr>
      <w:r>
        <w:rPr>
          <w:rFonts w:cs="Calibri"/>
          <w:b/>
          <w:bCs/>
          <w:sz w:val="32"/>
          <w:szCs w:val="32"/>
        </w:rPr>
        <w:lastRenderedPageBreak/>
        <w:t>2.3. Bilanca Društva</w:t>
      </w:r>
    </w:p>
    <w:p w:rsidR="00DC64CF" w:rsidRDefault="00DC64CF" w:rsidP="00DC64CF">
      <w:pPr>
        <w:widowControl w:val="0"/>
        <w:autoSpaceDE w:val="0"/>
        <w:autoSpaceDN w:val="0"/>
        <w:adjustRightInd w:val="0"/>
        <w:spacing w:after="0" w:line="383" w:lineRule="exact"/>
        <w:rPr>
          <w:rFonts w:ascii="Times New Roman" w:hAnsi="Times New Roman"/>
          <w:sz w:val="24"/>
          <w:szCs w:val="24"/>
        </w:rPr>
      </w:pPr>
    </w:p>
    <w:p w:rsidR="00DC64CF" w:rsidRPr="00DC64CF" w:rsidRDefault="00DC64CF" w:rsidP="00DC64CF">
      <w:pPr>
        <w:widowControl w:val="0"/>
        <w:overflowPunct w:val="0"/>
        <w:autoSpaceDE w:val="0"/>
        <w:autoSpaceDN w:val="0"/>
        <w:adjustRightInd w:val="0"/>
        <w:spacing w:after="0" w:line="240" w:lineRule="auto"/>
        <w:ind w:left="40" w:right="20"/>
        <w:jc w:val="both"/>
        <w:rPr>
          <w:rFonts w:ascii="Times New Roman" w:hAnsi="Times New Roman"/>
          <w:sz w:val="24"/>
          <w:szCs w:val="24"/>
        </w:rPr>
      </w:pPr>
      <w:r w:rsidRPr="00DC64CF">
        <w:rPr>
          <w:rFonts w:ascii="Times New Roman" w:hAnsi="Times New Roman"/>
          <w:sz w:val="24"/>
          <w:szCs w:val="24"/>
        </w:rPr>
        <w:t>Ukupna aktiva/pasiva na kraju tekućeg razdoblja iznosila je 29,6 mil. kuna ili 6,5% više nego krajem prethodne godine. Struktura krajem tekuće i prethodne godine, dana je u tablici br. 11.</w:t>
      </w:r>
    </w:p>
    <w:p w:rsidR="00DC64CF" w:rsidRPr="00DC64CF" w:rsidRDefault="00DC64CF" w:rsidP="00DC64CF">
      <w:pPr>
        <w:widowControl w:val="0"/>
        <w:autoSpaceDE w:val="0"/>
        <w:autoSpaceDN w:val="0"/>
        <w:adjustRightInd w:val="0"/>
        <w:spacing w:after="0" w:line="240" w:lineRule="auto"/>
        <w:jc w:val="both"/>
        <w:rPr>
          <w:rFonts w:ascii="Times New Roman" w:hAnsi="Times New Roman"/>
          <w:sz w:val="24"/>
          <w:szCs w:val="24"/>
        </w:rPr>
      </w:pPr>
    </w:p>
    <w:p w:rsidR="00DC64CF" w:rsidRDefault="00DC64CF" w:rsidP="00DC64CF">
      <w:pPr>
        <w:widowControl w:val="0"/>
        <w:autoSpaceDE w:val="0"/>
        <w:autoSpaceDN w:val="0"/>
        <w:adjustRightInd w:val="0"/>
        <w:spacing w:after="0" w:line="239" w:lineRule="auto"/>
        <w:ind w:left="40"/>
        <w:rPr>
          <w:rFonts w:cs="Calibri"/>
          <w:b/>
          <w:bCs/>
        </w:rPr>
      </w:pPr>
      <w:r>
        <w:rPr>
          <w:rFonts w:cs="Calibri"/>
          <w:b/>
          <w:bCs/>
        </w:rPr>
        <w:t>Tablica 11. Bilanca Društva – stanje na dan 31.12.2015.</w:t>
      </w:r>
    </w:p>
    <w:tbl>
      <w:tblPr>
        <w:tblW w:w="0" w:type="auto"/>
        <w:tblInd w:w="10" w:type="dxa"/>
        <w:tblLayout w:type="fixed"/>
        <w:tblCellMar>
          <w:left w:w="0" w:type="dxa"/>
          <w:right w:w="0" w:type="dxa"/>
        </w:tblCellMar>
        <w:tblLook w:val="0000" w:firstRow="0" w:lastRow="0" w:firstColumn="0" w:lastColumn="0" w:noHBand="0" w:noVBand="0"/>
      </w:tblPr>
      <w:tblGrid>
        <w:gridCol w:w="220"/>
        <w:gridCol w:w="300"/>
        <w:gridCol w:w="220"/>
        <w:gridCol w:w="100"/>
        <w:gridCol w:w="860"/>
        <w:gridCol w:w="120"/>
        <w:gridCol w:w="100"/>
        <w:gridCol w:w="2700"/>
        <w:gridCol w:w="120"/>
        <w:gridCol w:w="100"/>
        <w:gridCol w:w="1280"/>
        <w:gridCol w:w="120"/>
        <w:gridCol w:w="100"/>
        <w:gridCol w:w="1280"/>
        <w:gridCol w:w="120"/>
        <w:gridCol w:w="100"/>
        <w:gridCol w:w="1020"/>
        <w:gridCol w:w="120"/>
        <w:gridCol w:w="30"/>
      </w:tblGrid>
      <w:tr w:rsidR="00EE2172" w:rsidRPr="00481167" w:rsidTr="00933A35">
        <w:trPr>
          <w:trHeight w:val="68"/>
        </w:trPr>
        <w:tc>
          <w:tcPr>
            <w:tcW w:w="220" w:type="dxa"/>
            <w:tcBorders>
              <w:top w:val="single" w:sz="8" w:space="0" w:color="auto"/>
              <w:left w:val="single" w:sz="8" w:space="0" w:color="auto"/>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300" w:type="dxa"/>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220" w:type="dxa"/>
            <w:tcBorders>
              <w:top w:val="single" w:sz="8" w:space="0" w:color="auto"/>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100" w:type="dxa"/>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860" w:type="dxa"/>
            <w:vMerge w:val="restart"/>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w w:val="98"/>
                <w:sz w:val="24"/>
                <w:szCs w:val="24"/>
              </w:rPr>
              <w:t>Red.br.</w:t>
            </w:r>
          </w:p>
        </w:tc>
        <w:tc>
          <w:tcPr>
            <w:tcW w:w="120" w:type="dxa"/>
            <w:tcBorders>
              <w:top w:val="single" w:sz="8" w:space="0" w:color="auto"/>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100" w:type="dxa"/>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2700" w:type="dxa"/>
            <w:vMerge w:val="restart"/>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ind w:left="1080"/>
              <w:rPr>
                <w:rFonts w:ascii="Times New Roman" w:hAnsi="Times New Roman"/>
                <w:sz w:val="24"/>
                <w:szCs w:val="24"/>
              </w:rPr>
            </w:pPr>
            <w:r w:rsidRPr="00481167">
              <w:rPr>
                <w:rFonts w:cs="Calibri"/>
                <w:b/>
                <w:bCs/>
                <w:color w:val="FFFFFF"/>
                <w:sz w:val="24"/>
                <w:szCs w:val="24"/>
              </w:rPr>
              <w:t>Naziv</w:t>
            </w:r>
          </w:p>
        </w:tc>
        <w:tc>
          <w:tcPr>
            <w:tcW w:w="120" w:type="dxa"/>
            <w:tcBorders>
              <w:top w:val="single" w:sz="8" w:space="0" w:color="auto"/>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100" w:type="dxa"/>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1280" w:type="dxa"/>
            <w:vMerge w:val="restart"/>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ind w:right="245"/>
              <w:jc w:val="right"/>
              <w:rPr>
                <w:rFonts w:ascii="Times New Roman" w:hAnsi="Times New Roman"/>
                <w:sz w:val="24"/>
                <w:szCs w:val="24"/>
              </w:rPr>
            </w:pPr>
            <w:r>
              <w:rPr>
                <w:rFonts w:cs="Calibri"/>
                <w:b/>
                <w:bCs/>
                <w:color w:val="FFFFFF"/>
                <w:sz w:val="24"/>
                <w:szCs w:val="24"/>
              </w:rPr>
              <w:t>2014.</w:t>
            </w:r>
          </w:p>
        </w:tc>
        <w:tc>
          <w:tcPr>
            <w:tcW w:w="120" w:type="dxa"/>
            <w:tcBorders>
              <w:top w:val="single" w:sz="8" w:space="0" w:color="auto"/>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100" w:type="dxa"/>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1280" w:type="dxa"/>
            <w:vMerge w:val="restart"/>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ind w:right="245"/>
              <w:jc w:val="right"/>
              <w:rPr>
                <w:rFonts w:ascii="Times New Roman" w:hAnsi="Times New Roman"/>
                <w:sz w:val="24"/>
                <w:szCs w:val="24"/>
              </w:rPr>
            </w:pPr>
            <w:r>
              <w:rPr>
                <w:rFonts w:cs="Calibri"/>
                <w:b/>
                <w:bCs/>
                <w:color w:val="FFFFFF"/>
                <w:sz w:val="24"/>
                <w:szCs w:val="24"/>
              </w:rPr>
              <w:t>2015</w:t>
            </w:r>
            <w:r w:rsidRPr="00481167">
              <w:rPr>
                <w:rFonts w:cs="Calibri"/>
                <w:b/>
                <w:bCs/>
                <w:color w:val="FFFFFF"/>
                <w:sz w:val="24"/>
                <w:szCs w:val="24"/>
              </w:rPr>
              <w:t>.</w:t>
            </w:r>
          </w:p>
        </w:tc>
        <w:tc>
          <w:tcPr>
            <w:tcW w:w="120" w:type="dxa"/>
            <w:tcBorders>
              <w:top w:val="single" w:sz="8" w:space="0" w:color="auto"/>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100" w:type="dxa"/>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1020" w:type="dxa"/>
            <w:vMerge w:val="restart"/>
            <w:tcBorders>
              <w:top w:val="single" w:sz="8" w:space="0" w:color="auto"/>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ind w:right="125"/>
              <w:jc w:val="right"/>
              <w:rPr>
                <w:rFonts w:ascii="Times New Roman" w:hAnsi="Times New Roman"/>
                <w:sz w:val="24"/>
                <w:szCs w:val="24"/>
              </w:rPr>
            </w:pPr>
            <w:r w:rsidRPr="00481167">
              <w:rPr>
                <w:rFonts w:cs="Calibri"/>
                <w:b/>
                <w:bCs/>
                <w:color w:val="FFFFFF"/>
                <w:sz w:val="24"/>
                <w:szCs w:val="24"/>
              </w:rPr>
              <w:t>Index</w:t>
            </w:r>
          </w:p>
        </w:tc>
        <w:tc>
          <w:tcPr>
            <w:tcW w:w="120" w:type="dxa"/>
            <w:tcBorders>
              <w:top w:val="single" w:sz="8" w:space="0" w:color="auto"/>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293"/>
        </w:trPr>
        <w:tc>
          <w:tcPr>
            <w:tcW w:w="220" w:type="dxa"/>
            <w:tcBorders>
              <w:top w:val="nil"/>
              <w:left w:val="single" w:sz="8" w:space="0" w:color="auto"/>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860" w:type="dxa"/>
            <w:vMerge/>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700" w:type="dxa"/>
            <w:vMerge/>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280" w:type="dxa"/>
            <w:vMerge/>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280" w:type="dxa"/>
            <w:vMerge/>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20" w:type="dxa"/>
            <w:vMerge/>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117"/>
        </w:trPr>
        <w:tc>
          <w:tcPr>
            <w:tcW w:w="220" w:type="dxa"/>
            <w:tcBorders>
              <w:top w:val="nil"/>
              <w:left w:val="single" w:sz="8" w:space="0" w:color="auto"/>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30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220" w:type="dxa"/>
            <w:tcBorders>
              <w:top w:val="nil"/>
              <w:left w:val="nil"/>
              <w:bottom w:val="single" w:sz="8" w:space="0" w:color="auto"/>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86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270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28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28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02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260"/>
        </w:trPr>
        <w:tc>
          <w:tcPr>
            <w:tcW w:w="220" w:type="dxa"/>
            <w:tcBorders>
              <w:top w:val="single" w:sz="8" w:space="0" w:color="7F7F7F"/>
              <w:left w:val="single" w:sz="8" w:space="0" w:color="auto"/>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300" w:type="dxa"/>
            <w:tcBorders>
              <w:top w:val="single" w:sz="8" w:space="0" w:color="7F7F7F"/>
              <w:left w:val="nil"/>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220" w:type="dxa"/>
            <w:tcBorders>
              <w:top w:val="single" w:sz="8" w:space="0" w:color="7F7F7F"/>
              <w:left w:val="nil"/>
              <w:bottom w:val="single" w:sz="8" w:space="0" w:color="7F7F7F"/>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86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270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60" w:lineRule="exact"/>
              <w:ind w:left="1300"/>
              <w:rPr>
                <w:rFonts w:ascii="Times New Roman" w:hAnsi="Times New Roman"/>
                <w:sz w:val="24"/>
                <w:szCs w:val="24"/>
              </w:rPr>
            </w:pPr>
            <w:r w:rsidRPr="00481167">
              <w:rPr>
                <w:rFonts w:cs="Calibri"/>
              </w:rPr>
              <w:t>1</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28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60" w:lineRule="exact"/>
              <w:ind w:right="465"/>
              <w:jc w:val="right"/>
              <w:rPr>
                <w:rFonts w:ascii="Times New Roman" w:hAnsi="Times New Roman"/>
                <w:sz w:val="24"/>
                <w:szCs w:val="24"/>
              </w:rPr>
            </w:pPr>
            <w:r w:rsidRPr="00481167">
              <w:rPr>
                <w:rFonts w:cs="Calibri"/>
              </w:rPr>
              <w:t>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28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60" w:lineRule="exact"/>
              <w:ind w:right="465"/>
              <w:jc w:val="right"/>
              <w:rPr>
                <w:rFonts w:ascii="Times New Roman" w:hAnsi="Times New Roman"/>
                <w:sz w:val="24"/>
                <w:szCs w:val="24"/>
              </w:rPr>
            </w:pPr>
            <w:r w:rsidRPr="00481167">
              <w:rPr>
                <w:rFonts w:cs="Calibri"/>
              </w:rPr>
              <w:t>3</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020" w:type="dxa"/>
            <w:tcBorders>
              <w:top w:val="single" w:sz="8" w:space="0" w:color="F79646"/>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60" w:lineRule="exact"/>
              <w:jc w:val="right"/>
              <w:rPr>
                <w:rFonts w:ascii="Times New Roman" w:hAnsi="Times New Roman"/>
                <w:sz w:val="24"/>
                <w:szCs w:val="24"/>
              </w:rPr>
            </w:pPr>
            <w:r w:rsidRPr="00481167">
              <w:rPr>
                <w:rFonts w:cs="Calibri"/>
                <w:w w:val="98"/>
              </w:rPr>
              <w:t>4(3/2*100)</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287"/>
        </w:trPr>
        <w:tc>
          <w:tcPr>
            <w:tcW w:w="220" w:type="dxa"/>
            <w:tcBorders>
              <w:top w:val="nil"/>
              <w:left w:val="single" w:sz="8" w:space="0" w:color="auto"/>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300" w:type="dxa"/>
            <w:vMerge w:val="restart"/>
            <w:tcBorders>
              <w:top w:val="nil"/>
              <w:left w:val="nil"/>
              <w:bottom w:val="single" w:sz="8" w:space="0" w:color="7F7F7F"/>
              <w:right w:val="nil"/>
            </w:tcBorders>
            <w:shd w:val="clear" w:color="auto" w:fill="7F7F7F"/>
            <w:textDirection w:val="btLr"/>
            <w:vAlign w:val="bottom"/>
          </w:tcPr>
          <w:p w:rsidR="00EE2172" w:rsidRPr="00481167" w:rsidRDefault="00EE2172" w:rsidP="00933A35">
            <w:pPr>
              <w:widowControl w:val="0"/>
              <w:autoSpaceDE w:val="0"/>
              <w:autoSpaceDN w:val="0"/>
              <w:adjustRightInd w:val="0"/>
              <w:spacing w:after="0" w:line="240" w:lineRule="auto"/>
              <w:ind w:left="7"/>
              <w:rPr>
                <w:rFonts w:ascii="Times New Roman" w:hAnsi="Times New Roman"/>
                <w:sz w:val="24"/>
                <w:szCs w:val="24"/>
              </w:rPr>
            </w:pPr>
            <w:r w:rsidRPr="00481167">
              <w:rPr>
                <w:rFonts w:cs="Calibri"/>
                <w:b/>
                <w:bCs/>
                <w:i/>
                <w:iCs/>
                <w:color w:val="FFFFFF"/>
                <w:w w:val="99"/>
                <w:sz w:val="24"/>
                <w:szCs w:val="24"/>
              </w:rPr>
              <w:t>AKTIVA</w:t>
            </w:r>
          </w:p>
        </w:tc>
        <w:tc>
          <w:tcPr>
            <w:tcW w:w="220" w:type="dxa"/>
            <w:tcBorders>
              <w:top w:val="nil"/>
              <w:left w:val="nil"/>
              <w:bottom w:val="single" w:sz="8" w:space="0" w:color="7F7F7F"/>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960" w:type="dxa"/>
            <w:gridSpan w:val="2"/>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1.</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Dugotrajna imovina</w:t>
            </w:r>
          </w:p>
        </w:tc>
        <w:tc>
          <w:tcPr>
            <w:tcW w:w="1500" w:type="dxa"/>
            <w:gridSpan w:val="3"/>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67" w:lineRule="exact"/>
              <w:ind w:right="120"/>
              <w:jc w:val="right"/>
              <w:rPr>
                <w:rFonts w:asciiTheme="minorHAnsi" w:hAnsiTheme="minorHAnsi"/>
              </w:rPr>
            </w:pPr>
            <w:r w:rsidRPr="00EE2172">
              <w:rPr>
                <w:rFonts w:asciiTheme="minorHAnsi" w:hAnsiTheme="minorHAnsi" w:cs="Calibri"/>
              </w:rPr>
              <w:t>12.125.909</w:t>
            </w:r>
          </w:p>
        </w:tc>
        <w:tc>
          <w:tcPr>
            <w:tcW w:w="1500" w:type="dxa"/>
            <w:gridSpan w:val="3"/>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67" w:lineRule="exact"/>
              <w:ind w:right="120"/>
              <w:jc w:val="right"/>
              <w:rPr>
                <w:rFonts w:asciiTheme="minorHAnsi" w:hAnsiTheme="minorHAnsi"/>
              </w:rPr>
            </w:pPr>
            <w:r w:rsidRPr="00EE2172">
              <w:rPr>
                <w:rFonts w:asciiTheme="minorHAnsi" w:hAnsiTheme="minorHAnsi"/>
              </w:rPr>
              <w:t>12.926.620</w:t>
            </w:r>
          </w:p>
        </w:tc>
        <w:tc>
          <w:tcPr>
            <w:tcW w:w="1120" w:type="dxa"/>
            <w:gridSpan w:val="2"/>
            <w:tcBorders>
              <w:top w:val="nil"/>
              <w:left w:val="nil"/>
              <w:bottom w:val="single" w:sz="8" w:space="0" w:color="auto"/>
              <w:right w:val="nil"/>
            </w:tcBorders>
            <w:vAlign w:val="bottom"/>
          </w:tcPr>
          <w:p w:rsidR="00EE2172" w:rsidRPr="00EE2172" w:rsidRDefault="00EE2172" w:rsidP="00933A35">
            <w:pPr>
              <w:widowControl w:val="0"/>
              <w:autoSpaceDE w:val="0"/>
              <w:autoSpaceDN w:val="0"/>
              <w:adjustRightInd w:val="0"/>
              <w:spacing w:after="0" w:line="267" w:lineRule="exact"/>
              <w:jc w:val="right"/>
              <w:rPr>
                <w:rFonts w:asciiTheme="minorHAnsi" w:hAnsiTheme="minorHAnsi"/>
              </w:rPr>
            </w:pPr>
            <w:r w:rsidRPr="00EE2172">
              <w:rPr>
                <w:rFonts w:asciiTheme="minorHAnsi" w:hAnsiTheme="minorHAnsi"/>
              </w:rPr>
              <w:t>106,60</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311"/>
        </w:trPr>
        <w:tc>
          <w:tcPr>
            <w:tcW w:w="220" w:type="dxa"/>
            <w:tcBorders>
              <w:top w:val="nil"/>
              <w:left w:val="single" w:sz="8" w:space="0" w:color="auto"/>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300" w:type="dxa"/>
            <w:vMerge/>
            <w:tcBorders>
              <w:top w:val="nil"/>
              <w:left w:val="nil"/>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7F7F7F"/>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960" w:type="dxa"/>
            <w:gridSpan w:val="2"/>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2.</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Kratkotrajna imovina</w:t>
            </w:r>
          </w:p>
        </w:tc>
        <w:tc>
          <w:tcPr>
            <w:tcW w:w="1500" w:type="dxa"/>
            <w:gridSpan w:val="3"/>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67" w:lineRule="exact"/>
              <w:ind w:right="120"/>
              <w:jc w:val="right"/>
              <w:rPr>
                <w:rFonts w:asciiTheme="minorHAnsi" w:hAnsiTheme="minorHAnsi"/>
              </w:rPr>
            </w:pPr>
            <w:r w:rsidRPr="00EE2172">
              <w:rPr>
                <w:rFonts w:asciiTheme="minorHAnsi" w:hAnsiTheme="minorHAnsi" w:cs="Calibri"/>
              </w:rPr>
              <w:t>19.188.664</w:t>
            </w:r>
          </w:p>
        </w:tc>
        <w:tc>
          <w:tcPr>
            <w:tcW w:w="1500" w:type="dxa"/>
            <w:gridSpan w:val="3"/>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67" w:lineRule="exact"/>
              <w:ind w:right="120"/>
              <w:jc w:val="right"/>
              <w:rPr>
                <w:rFonts w:asciiTheme="minorHAnsi" w:hAnsiTheme="minorHAnsi"/>
              </w:rPr>
            </w:pPr>
            <w:r w:rsidRPr="00EE2172">
              <w:rPr>
                <w:rFonts w:asciiTheme="minorHAnsi" w:hAnsiTheme="minorHAnsi"/>
              </w:rPr>
              <w:t>15.567.029</w:t>
            </w:r>
          </w:p>
        </w:tc>
        <w:tc>
          <w:tcPr>
            <w:tcW w:w="1120" w:type="dxa"/>
            <w:gridSpan w:val="2"/>
            <w:tcBorders>
              <w:top w:val="nil"/>
              <w:left w:val="nil"/>
              <w:bottom w:val="single" w:sz="8" w:space="0" w:color="auto"/>
              <w:right w:val="nil"/>
            </w:tcBorders>
            <w:vAlign w:val="bottom"/>
          </w:tcPr>
          <w:p w:rsidR="00EE2172" w:rsidRPr="00EE2172" w:rsidRDefault="00EE2172" w:rsidP="00933A35">
            <w:pPr>
              <w:widowControl w:val="0"/>
              <w:autoSpaceDE w:val="0"/>
              <w:autoSpaceDN w:val="0"/>
              <w:adjustRightInd w:val="0"/>
              <w:spacing w:after="0" w:line="267" w:lineRule="exact"/>
              <w:jc w:val="right"/>
              <w:rPr>
                <w:rFonts w:asciiTheme="minorHAnsi" w:hAnsiTheme="minorHAnsi"/>
              </w:rPr>
            </w:pPr>
            <w:r w:rsidRPr="00EE2172">
              <w:rPr>
                <w:rFonts w:asciiTheme="minorHAnsi" w:hAnsiTheme="minorHAnsi"/>
              </w:rPr>
              <w:t>81,12</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213"/>
        </w:trPr>
        <w:tc>
          <w:tcPr>
            <w:tcW w:w="220" w:type="dxa"/>
            <w:tcBorders>
              <w:top w:val="nil"/>
              <w:left w:val="single" w:sz="8" w:space="0" w:color="auto"/>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8"/>
                <w:szCs w:val="18"/>
              </w:rPr>
            </w:pPr>
          </w:p>
        </w:tc>
        <w:tc>
          <w:tcPr>
            <w:tcW w:w="300" w:type="dxa"/>
            <w:vMerge/>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8"/>
                <w:szCs w:val="18"/>
              </w:rPr>
            </w:pPr>
          </w:p>
        </w:tc>
        <w:tc>
          <w:tcPr>
            <w:tcW w:w="220" w:type="dxa"/>
            <w:tcBorders>
              <w:top w:val="nil"/>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8"/>
                <w:szCs w:val="18"/>
              </w:rPr>
            </w:pPr>
          </w:p>
        </w:tc>
        <w:tc>
          <w:tcPr>
            <w:tcW w:w="960" w:type="dxa"/>
            <w:gridSpan w:val="2"/>
            <w:vMerge w:val="restart"/>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3.</w:t>
            </w:r>
          </w:p>
        </w:tc>
        <w:tc>
          <w:tcPr>
            <w:tcW w:w="120" w:type="dxa"/>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8"/>
                <w:szCs w:val="18"/>
              </w:rPr>
            </w:pPr>
          </w:p>
        </w:tc>
        <w:tc>
          <w:tcPr>
            <w:tcW w:w="2820" w:type="dxa"/>
            <w:gridSpan w:val="2"/>
            <w:vMerge w:val="restart"/>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67" w:lineRule="exact"/>
              <w:rPr>
                <w:rFonts w:ascii="Times New Roman" w:hAnsi="Times New Roman"/>
                <w:sz w:val="24"/>
                <w:szCs w:val="24"/>
              </w:rPr>
            </w:pPr>
            <w:r>
              <w:rPr>
                <w:rFonts w:cs="Calibri"/>
              </w:rPr>
              <w:t>Plać</w:t>
            </w:r>
            <w:r w:rsidRPr="00481167">
              <w:rPr>
                <w:rFonts w:cs="Calibri"/>
              </w:rPr>
              <w:t>eni tr.bud. razdoblja</w:t>
            </w:r>
          </w:p>
        </w:tc>
        <w:tc>
          <w:tcPr>
            <w:tcW w:w="1500" w:type="dxa"/>
            <w:gridSpan w:val="3"/>
            <w:vMerge w:val="restart"/>
            <w:tcBorders>
              <w:top w:val="nil"/>
              <w:left w:val="nil"/>
              <w:bottom w:val="nil"/>
              <w:right w:val="single" w:sz="8" w:space="0" w:color="auto"/>
            </w:tcBorders>
            <w:vAlign w:val="bottom"/>
          </w:tcPr>
          <w:p w:rsidR="00EE2172" w:rsidRPr="00EE2172" w:rsidRDefault="00EE2172" w:rsidP="00933A35">
            <w:pPr>
              <w:widowControl w:val="0"/>
              <w:autoSpaceDE w:val="0"/>
              <w:autoSpaceDN w:val="0"/>
              <w:adjustRightInd w:val="0"/>
              <w:spacing w:after="0" w:line="267" w:lineRule="exact"/>
              <w:ind w:right="120"/>
              <w:jc w:val="right"/>
              <w:rPr>
                <w:rFonts w:asciiTheme="minorHAnsi" w:hAnsiTheme="minorHAnsi"/>
              </w:rPr>
            </w:pPr>
            <w:r w:rsidRPr="00EE2172">
              <w:rPr>
                <w:rFonts w:asciiTheme="minorHAnsi" w:hAnsiTheme="minorHAnsi" w:cs="Calibri"/>
              </w:rPr>
              <w:t>2.953.720</w:t>
            </w:r>
          </w:p>
        </w:tc>
        <w:tc>
          <w:tcPr>
            <w:tcW w:w="1500" w:type="dxa"/>
            <w:gridSpan w:val="3"/>
            <w:vMerge w:val="restart"/>
            <w:tcBorders>
              <w:top w:val="nil"/>
              <w:left w:val="nil"/>
              <w:bottom w:val="nil"/>
              <w:right w:val="single" w:sz="8" w:space="0" w:color="auto"/>
            </w:tcBorders>
            <w:vAlign w:val="bottom"/>
          </w:tcPr>
          <w:p w:rsidR="00EE2172" w:rsidRPr="00EE2172" w:rsidRDefault="00EE2172" w:rsidP="00933A35">
            <w:pPr>
              <w:widowControl w:val="0"/>
              <w:autoSpaceDE w:val="0"/>
              <w:autoSpaceDN w:val="0"/>
              <w:adjustRightInd w:val="0"/>
              <w:spacing w:after="0" w:line="267" w:lineRule="exact"/>
              <w:ind w:right="120"/>
              <w:jc w:val="right"/>
              <w:rPr>
                <w:rFonts w:asciiTheme="minorHAnsi" w:hAnsiTheme="minorHAnsi"/>
              </w:rPr>
            </w:pPr>
            <w:r w:rsidRPr="00EE2172">
              <w:rPr>
                <w:rFonts w:asciiTheme="minorHAnsi" w:hAnsiTheme="minorHAnsi"/>
              </w:rPr>
              <w:t>1.165.977</w:t>
            </w:r>
          </w:p>
        </w:tc>
        <w:tc>
          <w:tcPr>
            <w:tcW w:w="1120" w:type="dxa"/>
            <w:gridSpan w:val="2"/>
            <w:vMerge w:val="restart"/>
            <w:tcBorders>
              <w:top w:val="nil"/>
              <w:left w:val="nil"/>
              <w:bottom w:val="nil"/>
              <w:right w:val="nil"/>
            </w:tcBorders>
            <w:vAlign w:val="bottom"/>
          </w:tcPr>
          <w:p w:rsidR="00EE2172" w:rsidRPr="00EE2172" w:rsidRDefault="00EE2172" w:rsidP="00933A35">
            <w:pPr>
              <w:widowControl w:val="0"/>
              <w:autoSpaceDE w:val="0"/>
              <w:autoSpaceDN w:val="0"/>
              <w:adjustRightInd w:val="0"/>
              <w:spacing w:after="0" w:line="267" w:lineRule="exact"/>
              <w:jc w:val="right"/>
              <w:rPr>
                <w:rFonts w:asciiTheme="minorHAnsi" w:hAnsiTheme="minorHAnsi"/>
              </w:rPr>
            </w:pPr>
            <w:r w:rsidRPr="00EE2172">
              <w:rPr>
                <w:rFonts w:asciiTheme="minorHAnsi" w:hAnsiTheme="minorHAnsi"/>
              </w:rPr>
              <w:t>39,47</w:t>
            </w:r>
          </w:p>
        </w:tc>
        <w:tc>
          <w:tcPr>
            <w:tcW w:w="120" w:type="dxa"/>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101"/>
        </w:trPr>
        <w:tc>
          <w:tcPr>
            <w:tcW w:w="220" w:type="dxa"/>
            <w:tcBorders>
              <w:top w:val="nil"/>
              <w:left w:val="single" w:sz="8" w:space="0" w:color="auto"/>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8"/>
                <w:szCs w:val="8"/>
              </w:rPr>
            </w:pPr>
          </w:p>
        </w:tc>
        <w:tc>
          <w:tcPr>
            <w:tcW w:w="300" w:type="dxa"/>
            <w:tcBorders>
              <w:top w:val="nil"/>
              <w:left w:val="nil"/>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8"/>
                <w:szCs w:val="8"/>
              </w:rPr>
            </w:pPr>
          </w:p>
        </w:tc>
        <w:tc>
          <w:tcPr>
            <w:tcW w:w="220" w:type="dxa"/>
            <w:tcBorders>
              <w:top w:val="nil"/>
              <w:left w:val="nil"/>
              <w:bottom w:val="single" w:sz="8" w:space="0" w:color="7F7F7F"/>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8"/>
                <w:szCs w:val="8"/>
              </w:rPr>
            </w:pPr>
          </w:p>
        </w:tc>
        <w:tc>
          <w:tcPr>
            <w:tcW w:w="960" w:type="dxa"/>
            <w:gridSpan w:val="2"/>
            <w:vMerge/>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8"/>
                <w:szCs w:val="8"/>
              </w:rPr>
            </w:pPr>
          </w:p>
        </w:tc>
        <w:tc>
          <w:tcPr>
            <w:tcW w:w="2820" w:type="dxa"/>
            <w:gridSpan w:val="2"/>
            <w:vMerge/>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8"/>
                <w:szCs w:val="8"/>
              </w:rPr>
            </w:pPr>
          </w:p>
        </w:tc>
        <w:tc>
          <w:tcPr>
            <w:tcW w:w="1500" w:type="dxa"/>
            <w:gridSpan w:val="3"/>
            <w:vMerge/>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500" w:type="dxa"/>
            <w:gridSpan w:val="3"/>
            <w:vMerge/>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120" w:type="dxa"/>
            <w:gridSpan w:val="2"/>
            <w:vMerge/>
            <w:tcBorders>
              <w:top w:val="nil"/>
              <w:left w:val="nil"/>
              <w:bottom w:val="single" w:sz="8" w:space="0" w:color="auto"/>
              <w:right w:val="nil"/>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311"/>
        </w:trPr>
        <w:tc>
          <w:tcPr>
            <w:tcW w:w="220" w:type="dxa"/>
            <w:tcBorders>
              <w:top w:val="nil"/>
              <w:left w:val="single" w:sz="8" w:space="0" w:color="auto"/>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960" w:type="dxa"/>
            <w:gridSpan w:val="2"/>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4.</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UKUPNO</w:t>
            </w:r>
          </w:p>
        </w:tc>
        <w:tc>
          <w:tcPr>
            <w:tcW w:w="1500" w:type="dxa"/>
            <w:gridSpan w:val="3"/>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67" w:lineRule="exact"/>
              <w:ind w:right="120"/>
              <w:jc w:val="right"/>
              <w:rPr>
                <w:rFonts w:asciiTheme="minorHAnsi" w:hAnsiTheme="minorHAnsi"/>
              </w:rPr>
            </w:pPr>
            <w:r w:rsidRPr="00EE2172">
              <w:rPr>
                <w:rFonts w:asciiTheme="minorHAnsi" w:hAnsiTheme="minorHAnsi" w:cs="Calibri"/>
                <w:b/>
                <w:bCs/>
              </w:rPr>
              <w:t>34.268.293</w:t>
            </w:r>
          </w:p>
        </w:tc>
        <w:tc>
          <w:tcPr>
            <w:tcW w:w="1380" w:type="dxa"/>
            <w:gridSpan w:val="2"/>
            <w:tcBorders>
              <w:top w:val="nil"/>
              <w:left w:val="nil"/>
              <w:bottom w:val="single" w:sz="8" w:space="0" w:color="auto"/>
              <w:right w:val="nil"/>
            </w:tcBorders>
            <w:vAlign w:val="bottom"/>
          </w:tcPr>
          <w:p w:rsidR="00EE2172" w:rsidRPr="00EE2172" w:rsidRDefault="00EE2172" w:rsidP="00933A35">
            <w:pPr>
              <w:widowControl w:val="0"/>
              <w:autoSpaceDE w:val="0"/>
              <w:autoSpaceDN w:val="0"/>
              <w:adjustRightInd w:val="0"/>
              <w:spacing w:after="0" w:line="267" w:lineRule="exact"/>
              <w:jc w:val="right"/>
              <w:rPr>
                <w:rFonts w:asciiTheme="minorHAnsi" w:hAnsiTheme="minorHAnsi"/>
                <w:b/>
              </w:rPr>
            </w:pPr>
            <w:r w:rsidRPr="00EE2172">
              <w:rPr>
                <w:rFonts w:asciiTheme="minorHAnsi" w:hAnsiTheme="minorHAnsi"/>
                <w:b/>
              </w:rPr>
              <w:t>29.659.626</w:t>
            </w:r>
          </w:p>
        </w:tc>
        <w:tc>
          <w:tcPr>
            <w:tcW w:w="120" w:type="dxa"/>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120" w:type="dxa"/>
            <w:gridSpan w:val="2"/>
            <w:tcBorders>
              <w:top w:val="nil"/>
              <w:left w:val="nil"/>
              <w:bottom w:val="single" w:sz="8" w:space="0" w:color="auto"/>
              <w:right w:val="nil"/>
            </w:tcBorders>
            <w:vAlign w:val="bottom"/>
          </w:tcPr>
          <w:p w:rsidR="00EE2172" w:rsidRPr="00EE2172" w:rsidRDefault="00EE2172" w:rsidP="00933A35">
            <w:pPr>
              <w:widowControl w:val="0"/>
              <w:autoSpaceDE w:val="0"/>
              <w:autoSpaceDN w:val="0"/>
              <w:adjustRightInd w:val="0"/>
              <w:spacing w:after="0" w:line="267" w:lineRule="exact"/>
              <w:jc w:val="right"/>
              <w:rPr>
                <w:rFonts w:asciiTheme="minorHAnsi" w:hAnsiTheme="minorHAnsi"/>
                <w:b/>
              </w:rPr>
            </w:pPr>
            <w:r w:rsidRPr="00EE2172">
              <w:rPr>
                <w:rFonts w:asciiTheme="minorHAnsi" w:hAnsiTheme="minorHAnsi"/>
                <w:b/>
              </w:rPr>
              <w:t>86,55</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263"/>
        </w:trPr>
        <w:tc>
          <w:tcPr>
            <w:tcW w:w="220" w:type="dxa"/>
            <w:tcBorders>
              <w:top w:val="nil"/>
              <w:left w:val="single" w:sz="8" w:space="0" w:color="auto"/>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300" w:type="dxa"/>
            <w:tcBorders>
              <w:top w:val="nil"/>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220" w:type="dxa"/>
            <w:tcBorders>
              <w:top w:val="nil"/>
              <w:left w:val="nil"/>
              <w:bottom w:val="single" w:sz="8" w:space="0" w:color="auto"/>
              <w:right w:val="single" w:sz="8" w:space="0" w:color="auto"/>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860" w:type="dxa"/>
            <w:tcBorders>
              <w:top w:val="nil"/>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single" w:sz="8" w:space="0" w:color="auto"/>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2700" w:type="dxa"/>
            <w:tcBorders>
              <w:top w:val="nil"/>
              <w:left w:val="nil"/>
              <w:bottom w:val="single" w:sz="8" w:space="0" w:color="auto"/>
              <w:right w:val="nil"/>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single" w:sz="8" w:space="0" w:color="auto"/>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single" w:sz="8" w:space="0" w:color="auto"/>
              <w:right w:val="nil"/>
            </w:tcBorders>
            <w:shd w:val="clear" w:color="auto" w:fill="F79646"/>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280" w:type="dxa"/>
            <w:tcBorders>
              <w:top w:val="nil"/>
              <w:left w:val="nil"/>
              <w:bottom w:val="single" w:sz="8" w:space="0" w:color="auto"/>
              <w:right w:val="nil"/>
            </w:tcBorders>
            <w:shd w:val="clear" w:color="auto" w:fill="F79646"/>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20" w:type="dxa"/>
            <w:tcBorders>
              <w:top w:val="nil"/>
              <w:left w:val="nil"/>
              <w:bottom w:val="single" w:sz="8" w:space="0" w:color="auto"/>
              <w:right w:val="single" w:sz="8" w:space="0" w:color="auto"/>
            </w:tcBorders>
            <w:shd w:val="clear" w:color="auto" w:fill="F79646"/>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shd w:val="clear" w:color="auto" w:fill="F79646"/>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280" w:type="dxa"/>
            <w:tcBorders>
              <w:top w:val="nil"/>
              <w:left w:val="nil"/>
              <w:bottom w:val="single" w:sz="8" w:space="0" w:color="auto"/>
              <w:right w:val="nil"/>
            </w:tcBorders>
            <w:shd w:val="clear" w:color="auto" w:fill="F79646"/>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20" w:type="dxa"/>
            <w:tcBorders>
              <w:top w:val="nil"/>
              <w:left w:val="nil"/>
              <w:bottom w:val="single" w:sz="8" w:space="0" w:color="auto"/>
              <w:right w:val="single" w:sz="8" w:space="0" w:color="auto"/>
            </w:tcBorders>
            <w:shd w:val="clear" w:color="auto" w:fill="F79646"/>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00" w:type="dxa"/>
            <w:tcBorders>
              <w:top w:val="nil"/>
              <w:left w:val="nil"/>
              <w:bottom w:val="single" w:sz="8" w:space="0" w:color="auto"/>
              <w:right w:val="nil"/>
            </w:tcBorders>
            <w:shd w:val="clear" w:color="auto" w:fill="F79646"/>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020" w:type="dxa"/>
            <w:tcBorders>
              <w:top w:val="nil"/>
              <w:left w:val="nil"/>
              <w:bottom w:val="single" w:sz="8" w:space="0" w:color="auto"/>
              <w:right w:val="nil"/>
            </w:tcBorders>
            <w:shd w:val="clear" w:color="auto" w:fill="F79646"/>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20" w:type="dxa"/>
            <w:tcBorders>
              <w:top w:val="nil"/>
              <w:left w:val="nil"/>
              <w:bottom w:val="single" w:sz="8" w:space="0" w:color="auto"/>
              <w:right w:val="single" w:sz="8" w:space="0" w:color="auto"/>
            </w:tcBorders>
            <w:shd w:val="clear" w:color="auto" w:fill="F79646"/>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20"/>
        </w:trPr>
        <w:tc>
          <w:tcPr>
            <w:tcW w:w="220" w:type="dxa"/>
            <w:tcBorders>
              <w:top w:val="nil"/>
              <w:left w:val="single" w:sz="8" w:space="0" w:color="auto"/>
              <w:bottom w:val="nil"/>
              <w:right w:val="nil"/>
            </w:tcBorders>
            <w:vAlign w:val="bottom"/>
          </w:tcPr>
          <w:p w:rsidR="00EE2172" w:rsidRPr="00481167" w:rsidRDefault="00EE2172" w:rsidP="00933A35">
            <w:pPr>
              <w:widowControl w:val="0"/>
              <w:autoSpaceDE w:val="0"/>
              <w:autoSpaceDN w:val="0"/>
              <w:adjustRightInd w:val="0"/>
              <w:spacing w:after="0" w:line="20" w:lineRule="exact"/>
              <w:rPr>
                <w:rFonts w:ascii="Times New Roman" w:hAnsi="Times New Roman"/>
                <w:sz w:val="2"/>
                <w:szCs w:val="2"/>
              </w:rPr>
            </w:pPr>
          </w:p>
        </w:tc>
        <w:tc>
          <w:tcPr>
            <w:tcW w:w="30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0" w:lineRule="exact"/>
              <w:rPr>
                <w:rFonts w:ascii="Times New Roman" w:hAnsi="Times New Roman"/>
                <w:sz w:val="2"/>
                <w:szCs w:val="2"/>
              </w:rPr>
            </w:pPr>
          </w:p>
        </w:tc>
        <w:tc>
          <w:tcPr>
            <w:tcW w:w="220" w:type="dxa"/>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0" w:lineRule="exact"/>
              <w:rPr>
                <w:rFonts w:ascii="Times New Roman" w:hAnsi="Times New Roman"/>
                <w:sz w:val="2"/>
                <w:szCs w:val="2"/>
              </w:rPr>
            </w:pPr>
          </w:p>
        </w:tc>
        <w:tc>
          <w:tcPr>
            <w:tcW w:w="960" w:type="dxa"/>
            <w:gridSpan w:val="2"/>
            <w:vMerge w:val="restart"/>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1.</w:t>
            </w:r>
          </w:p>
        </w:tc>
        <w:tc>
          <w:tcPr>
            <w:tcW w:w="120" w:type="dxa"/>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0" w:lineRule="exact"/>
              <w:rPr>
                <w:rFonts w:ascii="Times New Roman" w:hAnsi="Times New Roman"/>
                <w:sz w:val="2"/>
                <w:szCs w:val="2"/>
              </w:rPr>
            </w:pPr>
          </w:p>
        </w:tc>
        <w:tc>
          <w:tcPr>
            <w:tcW w:w="10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0" w:lineRule="exact"/>
              <w:rPr>
                <w:rFonts w:ascii="Times New Roman" w:hAnsi="Times New Roman"/>
                <w:sz w:val="2"/>
                <w:szCs w:val="2"/>
              </w:rPr>
            </w:pPr>
          </w:p>
        </w:tc>
        <w:tc>
          <w:tcPr>
            <w:tcW w:w="2820" w:type="dxa"/>
            <w:gridSpan w:val="2"/>
            <w:vMerge w:val="restart"/>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Kapital i rezerve</w:t>
            </w:r>
          </w:p>
        </w:tc>
        <w:tc>
          <w:tcPr>
            <w:tcW w:w="1500" w:type="dxa"/>
            <w:gridSpan w:val="3"/>
            <w:vMerge w:val="restart"/>
            <w:tcBorders>
              <w:top w:val="nil"/>
              <w:left w:val="nil"/>
              <w:bottom w:val="nil"/>
              <w:right w:val="single" w:sz="8" w:space="0" w:color="auto"/>
            </w:tcBorders>
            <w:vAlign w:val="bottom"/>
          </w:tcPr>
          <w:p w:rsidR="00EE2172" w:rsidRPr="00EE2172" w:rsidRDefault="00EE2172" w:rsidP="00933A35">
            <w:pPr>
              <w:widowControl w:val="0"/>
              <w:autoSpaceDE w:val="0"/>
              <w:autoSpaceDN w:val="0"/>
              <w:adjustRightInd w:val="0"/>
              <w:spacing w:after="0" w:line="267" w:lineRule="exact"/>
              <w:ind w:right="120"/>
              <w:jc w:val="right"/>
              <w:rPr>
                <w:rFonts w:asciiTheme="minorHAnsi" w:hAnsiTheme="minorHAnsi"/>
              </w:rPr>
            </w:pPr>
            <w:r w:rsidRPr="00EE2172">
              <w:rPr>
                <w:rFonts w:asciiTheme="minorHAnsi" w:hAnsiTheme="minorHAnsi" w:cs="Calibri"/>
              </w:rPr>
              <w:t>14.924.349</w:t>
            </w:r>
          </w:p>
        </w:tc>
        <w:tc>
          <w:tcPr>
            <w:tcW w:w="1500" w:type="dxa"/>
            <w:gridSpan w:val="3"/>
            <w:vMerge w:val="restart"/>
            <w:tcBorders>
              <w:top w:val="nil"/>
              <w:left w:val="nil"/>
              <w:bottom w:val="nil"/>
              <w:right w:val="single" w:sz="8" w:space="0" w:color="auto"/>
            </w:tcBorders>
            <w:vAlign w:val="bottom"/>
          </w:tcPr>
          <w:p w:rsidR="00EE2172" w:rsidRPr="00EE2172" w:rsidRDefault="00EE2172" w:rsidP="00933A35">
            <w:pPr>
              <w:widowControl w:val="0"/>
              <w:autoSpaceDE w:val="0"/>
              <w:autoSpaceDN w:val="0"/>
              <w:adjustRightInd w:val="0"/>
              <w:spacing w:after="0" w:line="267" w:lineRule="exact"/>
              <w:ind w:right="120"/>
              <w:jc w:val="right"/>
              <w:rPr>
                <w:rFonts w:asciiTheme="minorHAnsi" w:hAnsiTheme="minorHAnsi"/>
              </w:rPr>
            </w:pPr>
            <w:r w:rsidRPr="00EE2172">
              <w:rPr>
                <w:rFonts w:asciiTheme="minorHAnsi" w:hAnsiTheme="minorHAnsi"/>
              </w:rPr>
              <w:t>15.389.234</w:t>
            </w:r>
          </w:p>
        </w:tc>
        <w:tc>
          <w:tcPr>
            <w:tcW w:w="1120" w:type="dxa"/>
            <w:gridSpan w:val="2"/>
            <w:vMerge w:val="restart"/>
            <w:tcBorders>
              <w:top w:val="nil"/>
              <w:left w:val="nil"/>
              <w:bottom w:val="nil"/>
              <w:right w:val="nil"/>
            </w:tcBorders>
            <w:vAlign w:val="bottom"/>
          </w:tcPr>
          <w:p w:rsidR="00EE2172" w:rsidRPr="00EE2172" w:rsidRDefault="00EE2172" w:rsidP="00933A35">
            <w:pPr>
              <w:widowControl w:val="0"/>
              <w:autoSpaceDE w:val="0"/>
              <w:autoSpaceDN w:val="0"/>
              <w:adjustRightInd w:val="0"/>
              <w:spacing w:after="0" w:line="267" w:lineRule="exact"/>
              <w:jc w:val="right"/>
              <w:rPr>
                <w:rFonts w:asciiTheme="minorHAnsi" w:hAnsiTheme="minorHAnsi"/>
              </w:rPr>
            </w:pPr>
            <w:r w:rsidRPr="00EE2172">
              <w:rPr>
                <w:rFonts w:asciiTheme="minorHAnsi" w:hAnsiTheme="minorHAnsi"/>
              </w:rPr>
              <w:t>103,11</w:t>
            </w:r>
          </w:p>
        </w:tc>
        <w:tc>
          <w:tcPr>
            <w:tcW w:w="120" w:type="dxa"/>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0" w:lineRule="exact"/>
              <w:rPr>
                <w:rFonts w:ascii="Times New Roman" w:hAnsi="Times New Roman"/>
                <w:sz w:val="2"/>
                <w:szCs w:val="2"/>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0" w:lineRule="exact"/>
              <w:rPr>
                <w:rFonts w:ascii="Times New Roman" w:hAnsi="Times New Roman"/>
                <w:sz w:val="2"/>
                <w:szCs w:val="2"/>
              </w:rPr>
            </w:pPr>
          </w:p>
        </w:tc>
      </w:tr>
      <w:tr w:rsidR="00EE2172" w:rsidRPr="00481167" w:rsidTr="00933A35">
        <w:trPr>
          <w:trHeight w:val="283"/>
        </w:trPr>
        <w:tc>
          <w:tcPr>
            <w:tcW w:w="220" w:type="dxa"/>
            <w:tcBorders>
              <w:top w:val="nil"/>
              <w:left w:val="single" w:sz="8" w:space="0" w:color="auto"/>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7F7F7F"/>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960" w:type="dxa"/>
            <w:gridSpan w:val="2"/>
            <w:vMerge/>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820" w:type="dxa"/>
            <w:gridSpan w:val="2"/>
            <w:vMerge/>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500" w:type="dxa"/>
            <w:gridSpan w:val="3"/>
            <w:vMerge/>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500" w:type="dxa"/>
            <w:gridSpan w:val="3"/>
            <w:vMerge/>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120" w:type="dxa"/>
            <w:gridSpan w:val="2"/>
            <w:vMerge/>
            <w:tcBorders>
              <w:top w:val="nil"/>
              <w:left w:val="nil"/>
              <w:bottom w:val="single" w:sz="8" w:space="0" w:color="auto"/>
              <w:right w:val="nil"/>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318"/>
        </w:trPr>
        <w:tc>
          <w:tcPr>
            <w:tcW w:w="220" w:type="dxa"/>
            <w:tcBorders>
              <w:top w:val="nil"/>
              <w:left w:val="single" w:sz="8" w:space="0" w:color="auto"/>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300" w:type="dxa"/>
            <w:vMerge w:val="restart"/>
            <w:tcBorders>
              <w:top w:val="nil"/>
              <w:left w:val="nil"/>
              <w:bottom w:val="single" w:sz="8" w:space="0" w:color="7F7F7F"/>
              <w:right w:val="nil"/>
            </w:tcBorders>
            <w:shd w:val="clear" w:color="auto" w:fill="7F7F7F"/>
            <w:textDirection w:val="btLr"/>
            <w:vAlign w:val="bottom"/>
          </w:tcPr>
          <w:p w:rsidR="00EE2172" w:rsidRPr="00481167" w:rsidRDefault="00EE2172" w:rsidP="00933A35">
            <w:pPr>
              <w:widowControl w:val="0"/>
              <w:autoSpaceDE w:val="0"/>
              <w:autoSpaceDN w:val="0"/>
              <w:adjustRightInd w:val="0"/>
              <w:spacing w:after="0" w:line="240" w:lineRule="auto"/>
              <w:ind w:left="7"/>
              <w:rPr>
                <w:rFonts w:ascii="Times New Roman" w:hAnsi="Times New Roman"/>
                <w:sz w:val="24"/>
                <w:szCs w:val="24"/>
              </w:rPr>
            </w:pPr>
            <w:r w:rsidRPr="00481167">
              <w:rPr>
                <w:rFonts w:cs="Calibri"/>
                <w:b/>
                <w:bCs/>
                <w:i/>
                <w:iCs/>
                <w:color w:val="FFFFFF"/>
                <w:sz w:val="24"/>
                <w:szCs w:val="24"/>
              </w:rPr>
              <w:t>PASIVA</w:t>
            </w:r>
          </w:p>
        </w:tc>
        <w:tc>
          <w:tcPr>
            <w:tcW w:w="220" w:type="dxa"/>
            <w:tcBorders>
              <w:top w:val="nil"/>
              <w:left w:val="nil"/>
              <w:bottom w:val="single" w:sz="8" w:space="0" w:color="7F7F7F"/>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960" w:type="dxa"/>
            <w:gridSpan w:val="2"/>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5"/>
              </w:rPr>
              <w:t>2.</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Dugoročne obveze</w:t>
            </w:r>
          </w:p>
        </w:tc>
        <w:tc>
          <w:tcPr>
            <w:tcW w:w="1500" w:type="dxa"/>
            <w:gridSpan w:val="3"/>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67" w:lineRule="exact"/>
              <w:ind w:right="120"/>
              <w:jc w:val="right"/>
              <w:rPr>
                <w:rFonts w:asciiTheme="minorHAnsi" w:hAnsiTheme="minorHAnsi"/>
              </w:rPr>
            </w:pPr>
            <w:r w:rsidRPr="00EE2172">
              <w:rPr>
                <w:rFonts w:asciiTheme="minorHAnsi" w:hAnsiTheme="minorHAnsi" w:cs="Calibri"/>
              </w:rPr>
              <w:t>3.605.871</w:t>
            </w:r>
          </w:p>
        </w:tc>
        <w:tc>
          <w:tcPr>
            <w:tcW w:w="1500" w:type="dxa"/>
            <w:gridSpan w:val="3"/>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67" w:lineRule="exact"/>
              <w:ind w:right="120"/>
              <w:jc w:val="right"/>
              <w:rPr>
                <w:rFonts w:asciiTheme="minorHAnsi" w:hAnsiTheme="minorHAnsi"/>
              </w:rPr>
            </w:pPr>
            <w:r w:rsidRPr="00EE2172">
              <w:rPr>
                <w:rFonts w:asciiTheme="minorHAnsi" w:hAnsiTheme="minorHAnsi"/>
              </w:rPr>
              <w:t>3.120.368</w:t>
            </w:r>
          </w:p>
        </w:tc>
        <w:tc>
          <w:tcPr>
            <w:tcW w:w="1120" w:type="dxa"/>
            <w:gridSpan w:val="2"/>
            <w:tcBorders>
              <w:top w:val="nil"/>
              <w:left w:val="nil"/>
              <w:bottom w:val="single" w:sz="8" w:space="0" w:color="auto"/>
              <w:right w:val="nil"/>
            </w:tcBorders>
            <w:vAlign w:val="bottom"/>
          </w:tcPr>
          <w:p w:rsidR="00EE2172" w:rsidRPr="00EE2172" w:rsidRDefault="00EE2172" w:rsidP="00933A35">
            <w:pPr>
              <w:widowControl w:val="0"/>
              <w:autoSpaceDE w:val="0"/>
              <w:autoSpaceDN w:val="0"/>
              <w:adjustRightInd w:val="0"/>
              <w:spacing w:after="0" w:line="267" w:lineRule="exact"/>
              <w:jc w:val="right"/>
              <w:rPr>
                <w:rFonts w:asciiTheme="minorHAnsi" w:hAnsiTheme="minorHAnsi"/>
              </w:rPr>
            </w:pPr>
            <w:r w:rsidRPr="00EE2172">
              <w:rPr>
                <w:rFonts w:asciiTheme="minorHAnsi" w:hAnsiTheme="minorHAnsi"/>
              </w:rPr>
              <w:t>86,54</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311"/>
        </w:trPr>
        <w:tc>
          <w:tcPr>
            <w:tcW w:w="220" w:type="dxa"/>
            <w:tcBorders>
              <w:top w:val="nil"/>
              <w:left w:val="single" w:sz="8" w:space="0" w:color="auto"/>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300" w:type="dxa"/>
            <w:vMerge/>
            <w:tcBorders>
              <w:top w:val="nil"/>
              <w:left w:val="nil"/>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7F7F7F"/>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960" w:type="dxa"/>
            <w:gridSpan w:val="2"/>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3.</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Kratkoročne obveze</w:t>
            </w:r>
          </w:p>
        </w:tc>
        <w:tc>
          <w:tcPr>
            <w:tcW w:w="1500" w:type="dxa"/>
            <w:gridSpan w:val="3"/>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ind w:right="120"/>
              <w:jc w:val="right"/>
              <w:rPr>
                <w:rFonts w:asciiTheme="minorHAnsi" w:hAnsiTheme="minorHAnsi"/>
              </w:rPr>
            </w:pPr>
            <w:r w:rsidRPr="00EE2172">
              <w:rPr>
                <w:rFonts w:asciiTheme="minorHAnsi" w:hAnsiTheme="minorHAnsi" w:cs="Calibri"/>
              </w:rPr>
              <w:t>12.784.353</w:t>
            </w:r>
          </w:p>
        </w:tc>
        <w:tc>
          <w:tcPr>
            <w:tcW w:w="1500" w:type="dxa"/>
            <w:gridSpan w:val="3"/>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ind w:right="120"/>
              <w:jc w:val="right"/>
              <w:rPr>
                <w:rFonts w:asciiTheme="minorHAnsi" w:hAnsiTheme="minorHAnsi"/>
              </w:rPr>
            </w:pPr>
            <w:r w:rsidRPr="00EE2172">
              <w:rPr>
                <w:rFonts w:asciiTheme="minorHAnsi" w:hAnsiTheme="minorHAnsi"/>
              </w:rPr>
              <w:t>9.978.126</w:t>
            </w:r>
          </w:p>
        </w:tc>
        <w:tc>
          <w:tcPr>
            <w:tcW w:w="1120" w:type="dxa"/>
            <w:gridSpan w:val="2"/>
            <w:tcBorders>
              <w:top w:val="nil"/>
              <w:left w:val="nil"/>
              <w:bottom w:val="single" w:sz="8" w:space="0" w:color="auto"/>
              <w:right w:val="nil"/>
            </w:tcBorders>
            <w:vAlign w:val="bottom"/>
          </w:tcPr>
          <w:p w:rsidR="00EE2172" w:rsidRPr="00EE2172" w:rsidRDefault="00EE2172" w:rsidP="00933A35">
            <w:pPr>
              <w:widowControl w:val="0"/>
              <w:autoSpaceDE w:val="0"/>
              <w:autoSpaceDN w:val="0"/>
              <w:adjustRightInd w:val="0"/>
              <w:spacing w:after="0" w:line="240" w:lineRule="auto"/>
              <w:jc w:val="right"/>
              <w:rPr>
                <w:rFonts w:asciiTheme="minorHAnsi" w:hAnsiTheme="minorHAnsi"/>
              </w:rPr>
            </w:pPr>
            <w:r w:rsidRPr="00EE2172">
              <w:rPr>
                <w:rFonts w:asciiTheme="minorHAnsi" w:hAnsiTheme="minorHAnsi"/>
              </w:rPr>
              <w:t>78,04</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193"/>
        </w:trPr>
        <w:tc>
          <w:tcPr>
            <w:tcW w:w="220" w:type="dxa"/>
            <w:tcBorders>
              <w:top w:val="nil"/>
              <w:left w:val="single" w:sz="8" w:space="0" w:color="auto"/>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6"/>
                <w:szCs w:val="16"/>
              </w:rPr>
            </w:pPr>
          </w:p>
        </w:tc>
        <w:tc>
          <w:tcPr>
            <w:tcW w:w="300" w:type="dxa"/>
            <w:vMerge/>
            <w:tcBorders>
              <w:top w:val="nil"/>
              <w:left w:val="nil"/>
              <w:bottom w:val="nil"/>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6"/>
                <w:szCs w:val="16"/>
              </w:rPr>
            </w:pPr>
          </w:p>
        </w:tc>
        <w:tc>
          <w:tcPr>
            <w:tcW w:w="220" w:type="dxa"/>
            <w:tcBorders>
              <w:top w:val="nil"/>
              <w:left w:val="nil"/>
              <w:bottom w:val="nil"/>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6"/>
                <w:szCs w:val="16"/>
              </w:rPr>
            </w:pPr>
          </w:p>
        </w:tc>
        <w:tc>
          <w:tcPr>
            <w:tcW w:w="960" w:type="dxa"/>
            <w:gridSpan w:val="2"/>
            <w:vMerge w:val="restart"/>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4.</w:t>
            </w:r>
          </w:p>
        </w:tc>
        <w:tc>
          <w:tcPr>
            <w:tcW w:w="120" w:type="dxa"/>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6"/>
                <w:szCs w:val="16"/>
              </w:rPr>
            </w:pPr>
          </w:p>
        </w:tc>
        <w:tc>
          <w:tcPr>
            <w:tcW w:w="10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6"/>
                <w:szCs w:val="16"/>
              </w:rPr>
            </w:pPr>
          </w:p>
        </w:tc>
        <w:tc>
          <w:tcPr>
            <w:tcW w:w="2820" w:type="dxa"/>
            <w:gridSpan w:val="2"/>
            <w:vMerge w:val="restart"/>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Odgođeno pl.troškova</w:t>
            </w:r>
          </w:p>
        </w:tc>
        <w:tc>
          <w:tcPr>
            <w:tcW w:w="1500" w:type="dxa"/>
            <w:gridSpan w:val="3"/>
            <w:vMerge w:val="restart"/>
            <w:tcBorders>
              <w:top w:val="nil"/>
              <w:left w:val="nil"/>
              <w:bottom w:val="nil"/>
              <w:right w:val="single" w:sz="8" w:space="0" w:color="auto"/>
            </w:tcBorders>
            <w:vAlign w:val="bottom"/>
          </w:tcPr>
          <w:p w:rsidR="00EE2172" w:rsidRPr="00EE2172" w:rsidRDefault="00EE2172" w:rsidP="00933A35">
            <w:pPr>
              <w:widowControl w:val="0"/>
              <w:autoSpaceDE w:val="0"/>
              <w:autoSpaceDN w:val="0"/>
              <w:adjustRightInd w:val="0"/>
              <w:spacing w:after="0" w:line="240" w:lineRule="auto"/>
              <w:ind w:right="120"/>
              <w:jc w:val="right"/>
              <w:rPr>
                <w:rFonts w:asciiTheme="minorHAnsi" w:hAnsiTheme="minorHAnsi"/>
              </w:rPr>
            </w:pPr>
            <w:r w:rsidRPr="00EE2172">
              <w:rPr>
                <w:rFonts w:asciiTheme="minorHAnsi" w:hAnsiTheme="minorHAnsi" w:cs="Calibri"/>
              </w:rPr>
              <w:t>2.953.720</w:t>
            </w:r>
          </w:p>
        </w:tc>
        <w:tc>
          <w:tcPr>
            <w:tcW w:w="1500" w:type="dxa"/>
            <w:gridSpan w:val="3"/>
            <w:vMerge w:val="restart"/>
            <w:tcBorders>
              <w:top w:val="nil"/>
              <w:left w:val="nil"/>
              <w:bottom w:val="nil"/>
              <w:right w:val="single" w:sz="8" w:space="0" w:color="auto"/>
            </w:tcBorders>
            <w:vAlign w:val="bottom"/>
          </w:tcPr>
          <w:p w:rsidR="00EE2172" w:rsidRPr="00EE2172" w:rsidRDefault="00EE2172" w:rsidP="00933A35">
            <w:pPr>
              <w:widowControl w:val="0"/>
              <w:autoSpaceDE w:val="0"/>
              <w:autoSpaceDN w:val="0"/>
              <w:adjustRightInd w:val="0"/>
              <w:spacing w:after="0" w:line="240" w:lineRule="auto"/>
              <w:ind w:right="120"/>
              <w:jc w:val="right"/>
              <w:rPr>
                <w:rFonts w:asciiTheme="minorHAnsi" w:hAnsiTheme="minorHAnsi"/>
              </w:rPr>
            </w:pPr>
            <w:r w:rsidRPr="00EE2172">
              <w:rPr>
                <w:rFonts w:asciiTheme="minorHAnsi" w:hAnsiTheme="minorHAnsi"/>
              </w:rPr>
              <w:t>1.171.898</w:t>
            </w:r>
          </w:p>
        </w:tc>
        <w:tc>
          <w:tcPr>
            <w:tcW w:w="1120" w:type="dxa"/>
            <w:gridSpan w:val="2"/>
            <w:vMerge w:val="restart"/>
            <w:tcBorders>
              <w:top w:val="nil"/>
              <w:left w:val="nil"/>
              <w:bottom w:val="nil"/>
              <w:right w:val="nil"/>
            </w:tcBorders>
            <w:vAlign w:val="bottom"/>
          </w:tcPr>
          <w:p w:rsidR="00EE2172" w:rsidRPr="00EE2172" w:rsidRDefault="00EE2172" w:rsidP="00933A35">
            <w:pPr>
              <w:widowControl w:val="0"/>
              <w:autoSpaceDE w:val="0"/>
              <w:autoSpaceDN w:val="0"/>
              <w:adjustRightInd w:val="0"/>
              <w:spacing w:after="0" w:line="240" w:lineRule="auto"/>
              <w:jc w:val="right"/>
              <w:rPr>
                <w:rFonts w:asciiTheme="minorHAnsi" w:hAnsiTheme="minorHAnsi"/>
              </w:rPr>
            </w:pPr>
            <w:r w:rsidRPr="00EE2172">
              <w:rPr>
                <w:rFonts w:asciiTheme="minorHAnsi" w:hAnsiTheme="minorHAnsi"/>
              </w:rPr>
              <w:t>39,68</w:t>
            </w:r>
          </w:p>
        </w:tc>
        <w:tc>
          <w:tcPr>
            <w:tcW w:w="120" w:type="dxa"/>
            <w:tcBorders>
              <w:top w:val="nil"/>
              <w:left w:val="nil"/>
              <w:bottom w:val="nil"/>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118"/>
        </w:trPr>
        <w:tc>
          <w:tcPr>
            <w:tcW w:w="220" w:type="dxa"/>
            <w:tcBorders>
              <w:top w:val="nil"/>
              <w:left w:val="single" w:sz="8" w:space="0" w:color="auto"/>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0"/>
                <w:szCs w:val="10"/>
              </w:rPr>
            </w:pPr>
          </w:p>
        </w:tc>
        <w:tc>
          <w:tcPr>
            <w:tcW w:w="300" w:type="dxa"/>
            <w:tcBorders>
              <w:top w:val="nil"/>
              <w:left w:val="nil"/>
              <w:bottom w:val="single" w:sz="8" w:space="0" w:color="7F7F7F"/>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0"/>
                <w:szCs w:val="10"/>
              </w:rPr>
            </w:pPr>
          </w:p>
        </w:tc>
        <w:tc>
          <w:tcPr>
            <w:tcW w:w="220" w:type="dxa"/>
            <w:tcBorders>
              <w:top w:val="nil"/>
              <w:left w:val="nil"/>
              <w:bottom w:val="single" w:sz="8" w:space="0" w:color="7F7F7F"/>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0"/>
                <w:szCs w:val="10"/>
              </w:rPr>
            </w:pPr>
          </w:p>
        </w:tc>
        <w:tc>
          <w:tcPr>
            <w:tcW w:w="960" w:type="dxa"/>
            <w:gridSpan w:val="2"/>
            <w:vMerge/>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0"/>
                <w:szCs w:val="10"/>
              </w:rPr>
            </w:pP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0"/>
                <w:szCs w:val="10"/>
              </w:rPr>
            </w:pPr>
          </w:p>
        </w:tc>
        <w:tc>
          <w:tcPr>
            <w:tcW w:w="2820" w:type="dxa"/>
            <w:gridSpan w:val="2"/>
            <w:vMerge/>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0"/>
                <w:szCs w:val="10"/>
              </w:rPr>
            </w:pPr>
          </w:p>
        </w:tc>
        <w:tc>
          <w:tcPr>
            <w:tcW w:w="1500" w:type="dxa"/>
            <w:gridSpan w:val="3"/>
            <w:vMerge/>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500" w:type="dxa"/>
            <w:gridSpan w:val="3"/>
            <w:vMerge/>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120" w:type="dxa"/>
            <w:gridSpan w:val="2"/>
            <w:vMerge/>
            <w:tcBorders>
              <w:top w:val="nil"/>
              <w:left w:val="nil"/>
              <w:bottom w:val="single" w:sz="8" w:space="0" w:color="auto"/>
              <w:right w:val="nil"/>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r w:rsidR="00EE2172" w:rsidRPr="00481167" w:rsidTr="00933A35">
        <w:trPr>
          <w:trHeight w:val="314"/>
        </w:trPr>
        <w:tc>
          <w:tcPr>
            <w:tcW w:w="220" w:type="dxa"/>
            <w:tcBorders>
              <w:top w:val="nil"/>
              <w:left w:val="single" w:sz="8" w:space="0" w:color="auto"/>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auto"/>
            </w:tcBorders>
            <w:shd w:val="clear" w:color="auto" w:fill="7F7F7F"/>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960" w:type="dxa"/>
            <w:gridSpan w:val="2"/>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5"/>
              </w:rPr>
              <w:t>5.</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r w:rsidRPr="00481167">
              <w:rPr>
                <w:rFonts w:cs="Calibri"/>
                <w:b/>
                <w:bCs/>
              </w:rPr>
              <w:t>UKUPNO</w:t>
            </w:r>
          </w:p>
        </w:tc>
        <w:tc>
          <w:tcPr>
            <w:tcW w:w="1500" w:type="dxa"/>
            <w:gridSpan w:val="3"/>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ind w:right="120"/>
              <w:jc w:val="right"/>
              <w:rPr>
                <w:rFonts w:asciiTheme="minorHAnsi" w:hAnsiTheme="minorHAnsi"/>
              </w:rPr>
            </w:pPr>
            <w:r w:rsidRPr="00EE2172">
              <w:rPr>
                <w:rFonts w:asciiTheme="minorHAnsi" w:hAnsiTheme="minorHAnsi" w:cs="Calibri"/>
                <w:b/>
                <w:bCs/>
              </w:rPr>
              <w:t>34.268.293</w:t>
            </w:r>
          </w:p>
        </w:tc>
        <w:tc>
          <w:tcPr>
            <w:tcW w:w="1380" w:type="dxa"/>
            <w:gridSpan w:val="2"/>
            <w:tcBorders>
              <w:top w:val="nil"/>
              <w:left w:val="nil"/>
              <w:bottom w:val="single" w:sz="8" w:space="0" w:color="auto"/>
              <w:right w:val="nil"/>
            </w:tcBorders>
            <w:vAlign w:val="bottom"/>
          </w:tcPr>
          <w:p w:rsidR="00EE2172" w:rsidRPr="00EE2172" w:rsidRDefault="00EE2172" w:rsidP="00933A35">
            <w:pPr>
              <w:widowControl w:val="0"/>
              <w:autoSpaceDE w:val="0"/>
              <w:autoSpaceDN w:val="0"/>
              <w:adjustRightInd w:val="0"/>
              <w:spacing w:after="0" w:line="240" w:lineRule="auto"/>
              <w:jc w:val="right"/>
              <w:rPr>
                <w:rFonts w:asciiTheme="minorHAnsi" w:hAnsiTheme="minorHAnsi"/>
                <w:b/>
              </w:rPr>
            </w:pPr>
            <w:r w:rsidRPr="00EE2172">
              <w:rPr>
                <w:rFonts w:asciiTheme="minorHAnsi" w:hAnsiTheme="minorHAnsi"/>
                <w:b/>
              </w:rPr>
              <w:t>29.659.626</w:t>
            </w:r>
          </w:p>
        </w:tc>
        <w:tc>
          <w:tcPr>
            <w:tcW w:w="120" w:type="dxa"/>
            <w:tcBorders>
              <w:top w:val="nil"/>
              <w:left w:val="nil"/>
              <w:bottom w:val="single" w:sz="8" w:space="0" w:color="auto"/>
              <w:right w:val="single" w:sz="8" w:space="0" w:color="auto"/>
            </w:tcBorders>
            <w:vAlign w:val="bottom"/>
          </w:tcPr>
          <w:p w:rsidR="00EE2172" w:rsidRPr="00EE2172" w:rsidRDefault="00EE2172" w:rsidP="00933A35">
            <w:pPr>
              <w:widowControl w:val="0"/>
              <w:autoSpaceDE w:val="0"/>
              <w:autoSpaceDN w:val="0"/>
              <w:adjustRightInd w:val="0"/>
              <w:spacing w:after="0" w:line="240" w:lineRule="auto"/>
              <w:rPr>
                <w:rFonts w:asciiTheme="minorHAnsi" w:hAnsiTheme="minorHAnsi"/>
              </w:rPr>
            </w:pPr>
          </w:p>
        </w:tc>
        <w:tc>
          <w:tcPr>
            <w:tcW w:w="1120" w:type="dxa"/>
            <w:gridSpan w:val="2"/>
            <w:tcBorders>
              <w:top w:val="nil"/>
              <w:left w:val="nil"/>
              <w:bottom w:val="single" w:sz="8" w:space="0" w:color="auto"/>
              <w:right w:val="nil"/>
            </w:tcBorders>
            <w:vAlign w:val="bottom"/>
          </w:tcPr>
          <w:p w:rsidR="00EE2172" w:rsidRPr="00EE2172" w:rsidRDefault="00EE2172" w:rsidP="00933A35">
            <w:pPr>
              <w:widowControl w:val="0"/>
              <w:autoSpaceDE w:val="0"/>
              <w:autoSpaceDN w:val="0"/>
              <w:adjustRightInd w:val="0"/>
              <w:spacing w:after="0" w:line="240" w:lineRule="auto"/>
              <w:jc w:val="right"/>
              <w:rPr>
                <w:rFonts w:asciiTheme="minorHAnsi" w:hAnsiTheme="minorHAnsi"/>
                <w:b/>
              </w:rPr>
            </w:pPr>
            <w:r w:rsidRPr="00EE2172">
              <w:rPr>
                <w:rFonts w:asciiTheme="minorHAnsi" w:hAnsiTheme="minorHAnsi"/>
                <w:b/>
              </w:rPr>
              <w:t>86,55</w:t>
            </w:r>
          </w:p>
        </w:tc>
        <w:tc>
          <w:tcPr>
            <w:tcW w:w="120" w:type="dxa"/>
            <w:tcBorders>
              <w:top w:val="nil"/>
              <w:left w:val="nil"/>
              <w:bottom w:val="single" w:sz="8" w:space="0" w:color="auto"/>
              <w:right w:val="single" w:sz="8" w:space="0" w:color="auto"/>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EE2172" w:rsidRPr="00481167" w:rsidRDefault="00EE2172" w:rsidP="00933A35">
            <w:pPr>
              <w:widowControl w:val="0"/>
              <w:autoSpaceDE w:val="0"/>
              <w:autoSpaceDN w:val="0"/>
              <w:adjustRightInd w:val="0"/>
              <w:spacing w:after="0" w:line="240" w:lineRule="auto"/>
              <w:rPr>
                <w:rFonts w:ascii="Times New Roman" w:hAnsi="Times New Roman"/>
                <w:sz w:val="2"/>
                <w:szCs w:val="2"/>
              </w:rPr>
            </w:pPr>
          </w:p>
        </w:tc>
      </w:tr>
    </w:tbl>
    <w:p w:rsidR="00DC64CF" w:rsidRDefault="00DC64CF" w:rsidP="00DC64CF">
      <w:pPr>
        <w:widowControl w:val="0"/>
        <w:autoSpaceDE w:val="0"/>
        <w:autoSpaceDN w:val="0"/>
        <w:adjustRightInd w:val="0"/>
        <w:spacing w:after="0" w:line="239" w:lineRule="auto"/>
        <w:ind w:left="40"/>
        <w:rPr>
          <w:rFonts w:ascii="Times New Roman" w:hAnsi="Times New Roman"/>
          <w:sz w:val="24"/>
          <w:szCs w:val="24"/>
        </w:rPr>
      </w:pPr>
    </w:p>
    <w:p w:rsidR="00F430E7" w:rsidRPr="00F430E7" w:rsidRDefault="00F430E7" w:rsidP="00F430E7">
      <w:pPr>
        <w:widowControl w:val="0"/>
        <w:overflowPunct w:val="0"/>
        <w:autoSpaceDE w:val="0"/>
        <w:autoSpaceDN w:val="0"/>
        <w:adjustRightInd w:val="0"/>
        <w:spacing w:after="0" w:line="240" w:lineRule="auto"/>
        <w:jc w:val="both"/>
        <w:rPr>
          <w:rFonts w:ascii="Times New Roman" w:hAnsi="Times New Roman"/>
          <w:sz w:val="24"/>
          <w:szCs w:val="24"/>
        </w:rPr>
      </w:pPr>
      <w:r w:rsidRPr="00F430E7">
        <w:rPr>
          <w:rFonts w:ascii="Times New Roman" w:hAnsi="Times New Roman"/>
          <w:sz w:val="24"/>
          <w:szCs w:val="24"/>
        </w:rPr>
        <w:t>Dugotrajna imovina Društva se povećala za 6,60% dok se kratkotrajna imovina smanjila za 19% u odnosu 2014. zbog manjih potraživanja od kupaca u odnosu na 2014.god. Što se pasive Društva tiče smanjile su se obveze prema financijskim institucijama kao i obveze prema dobavljačima za 2,6 mil.kuna u odnosu na prethodnu godinu, a kapital i rezerve su se povećale za 3% zbog veće dobiti u odnosu na 2014.</w:t>
      </w:r>
    </w:p>
    <w:p w:rsidR="00F430E7" w:rsidRDefault="00F430E7" w:rsidP="00F430E7">
      <w:pPr>
        <w:widowControl w:val="0"/>
        <w:autoSpaceDE w:val="0"/>
        <w:autoSpaceDN w:val="0"/>
        <w:adjustRightInd w:val="0"/>
        <w:spacing w:after="0" w:line="200" w:lineRule="exact"/>
        <w:rPr>
          <w:rFonts w:ascii="Times New Roman" w:hAnsi="Times New Roman"/>
          <w:sz w:val="24"/>
          <w:szCs w:val="24"/>
        </w:rPr>
      </w:pPr>
    </w:p>
    <w:p w:rsidR="00F430E7" w:rsidRDefault="00F430E7" w:rsidP="00F430E7">
      <w:pPr>
        <w:widowControl w:val="0"/>
        <w:autoSpaceDE w:val="0"/>
        <w:autoSpaceDN w:val="0"/>
        <w:adjustRightInd w:val="0"/>
        <w:spacing w:after="0" w:line="239" w:lineRule="exact"/>
        <w:rPr>
          <w:rFonts w:ascii="Times New Roman" w:hAnsi="Times New Roman"/>
          <w:sz w:val="24"/>
          <w:szCs w:val="24"/>
        </w:rPr>
      </w:pPr>
    </w:p>
    <w:p w:rsidR="00F430E7" w:rsidRPr="007A0CDB" w:rsidRDefault="00F430E7" w:rsidP="00F430E7">
      <w:pPr>
        <w:widowControl w:val="0"/>
        <w:autoSpaceDE w:val="0"/>
        <w:autoSpaceDN w:val="0"/>
        <w:adjustRightInd w:val="0"/>
        <w:spacing w:after="0" w:line="240" w:lineRule="auto"/>
        <w:ind w:left="100"/>
        <w:rPr>
          <w:rFonts w:ascii="Times New Roman" w:hAnsi="Times New Roman"/>
          <w:b/>
          <w:i/>
          <w:sz w:val="24"/>
          <w:szCs w:val="24"/>
        </w:rPr>
      </w:pPr>
      <w:r w:rsidRPr="007A0CDB">
        <w:rPr>
          <w:rFonts w:cs="Calibri"/>
          <w:b/>
          <w:i/>
          <w:sz w:val="32"/>
          <w:szCs w:val="32"/>
        </w:rPr>
        <w:t>Dugotrajna imovina</w:t>
      </w:r>
    </w:p>
    <w:p w:rsidR="00F430E7" w:rsidRDefault="00F430E7" w:rsidP="00F430E7">
      <w:pPr>
        <w:widowControl w:val="0"/>
        <w:autoSpaceDE w:val="0"/>
        <w:autoSpaceDN w:val="0"/>
        <w:adjustRightInd w:val="0"/>
        <w:spacing w:after="0" w:line="327" w:lineRule="exact"/>
        <w:rPr>
          <w:rFonts w:ascii="Times New Roman" w:hAnsi="Times New Roman"/>
          <w:sz w:val="24"/>
          <w:szCs w:val="24"/>
        </w:rPr>
      </w:pPr>
    </w:p>
    <w:p w:rsidR="00F430E7" w:rsidRDefault="00F430E7" w:rsidP="00F430E7">
      <w:pPr>
        <w:widowControl w:val="0"/>
        <w:autoSpaceDE w:val="0"/>
        <w:autoSpaceDN w:val="0"/>
        <w:adjustRightInd w:val="0"/>
        <w:spacing w:after="0" w:line="240" w:lineRule="auto"/>
        <w:ind w:left="40"/>
        <w:rPr>
          <w:rFonts w:ascii="Times New Roman" w:hAnsi="Times New Roman"/>
          <w:sz w:val="24"/>
          <w:szCs w:val="24"/>
        </w:rPr>
      </w:pPr>
      <w:r>
        <w:rPr>
          <w:rFonts w:cs="Calibri"/>
          <w:b/>
          <w:bCs/>
        </w:rPr>
        <w:t>Grafikon 3. Materijalna i nematerijalna imovina Društva na dan 31.12.2015.</w:t>
      </w:r>
    </w:p>
    <w:p w:rsidR="00C81790" w:rsidRPr="00824B2A" w:rsidRDefault="00F430E7" w:rsidP="00824B2A">
      <w:pPr>
        <w:widowControl w:val="0"/>
        <w:overflowPunct w:val="0"/>
        <w:autoSpaceDE w:val="0"/>
        <w:autoSpaceDN w:val="0"/>
        <w:adjustRightInd w:val="0"/>
        <w:spacing w:after="0" w:line="240" w:lineRule="auto"/>
        <w:ind w:left="40" w:right="20"/>
        <w:jc w:val="both"/>
        <w:rPr>
          <w:rFonts w:ascii="Times New Roman" w:hAnsi="Times New Roman"/>
          <w:sz w:val="24"/>
          <w:szCs w:val="24"/>
        </w:rPr>
      </w:pPr>
      <w:r w:rsidRPr="00F430E7">
        <w:rPr>
          <w:rFonts w:ascii="Times New Roman" w:hAnsi="Times New Roman"/>
          <w:noProof/>
          <w:sz w:val="24"/>
          <w:szCs w:val="24"/>
        </w:rPr>
        <w:drawing>
          <wp:inline distT="0" distB="0" distL="0" distR="0">
            <wp:extent cx="5410200" cy="2133600"/>
            <wp:effectExtent l="1905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30E7" w:rsidRPr="00F430E7" w:rsidRDefault="00F430E7" w:rsidP="00F430E7">
      <w:pPr>
        <w:widowControl w:val="0"/>
        <w:overflowPunct w:val="0"/>
        <w:autoSpaceDE w:val="0"/>
        <w:autoSpaceDN w:val="0"/>
        <w:adjustRightInd w:val="0"/>
        <w:spacing w:after="0" w:line="240" w:lineRule="auto"/>
        <w:jc w:val="both"/>
        <w:rPr>
          <w:rFonts w:ascii="Times New Roman" w:hAnsi="Times New Roman"/>
          <w:sz w:val="24"/>
          <w:szCs w:val="24"/>
        </w:rPr>
      </w:pPr>
      <w:r w:rsidRPr="00F430E7">
        <w:rPr>
          <w:rFonts w:ascii="Times New Roman" w:hAnsi="Times New Roman"/>
          <w:sz w:val="24"/>
          <w:szCs w:val="24"/>
        </w:rPr>
        <w:t>Kao što je prikazano grafikonom 3. materijalnu imovinu čine zemljišta, građ. objekti, postrojenja, oprema, transportna sredstva te ostala imovina. Najveći udio zauzimaju transportna sredstva sa 43% odnosno 5,5 mil. kuna, na postrojenje i opremu otpada 41%, tj. 5,3 mil. kuna. Nematerijalna imovina</w:t>
      </w:r>
      <w:r>
        <w:rPr>
          <w:rFonts w:ascii="Times New Roman" w:hAnsi="Times New Roman"/>
          <w:sz w:val="24"/>
          <w:szCs w:val="24"/>
        </w:rPr>
        <w:t xml:space="preserve"> </w:t>
      </w:r>
      <w:r w:rsidRPr="00F430E7">
        <w:rPr>
          <w:rFonts w:ascii="Times New Roman" w:hAnsi="Times New Roman"/>
          <w:sz w:val="24"/>
          <w:szCs w:val="24"/>
        </w:rPr>
        <w:t>(softveri) čini 1% ukupne dugotrajne imovine.</w:t>
      </w:r>
    </w:p>
    <w:p w:rsidR="00F430E7" w:rsidRDefault="00F430E7" w:rsidP="00F430E7">
      <w:pPr>
        <w:widowControl w:val="0"/>
        <w:autoSpaceDE w:val="0"/>
        <w:autoSpaceDN w:val="0"/>
        <w:adjustRightInd w:val="0"/>
        <w:spacing w:after="0" w:line="200" w:lineRule="exact"/>
        <w:rPr>
          <w:rFonts w:ascii="Times New Roman" w:hAnsi="Times New Roman"/>
          <w:sz w:val="24"/>
          <w:szCs w:val="24"/>
        </w:rPr>
      </w:pPr>
    </w:p>
    <w:p w:rsidR="00AF6E46" w:rsidRPr="007A0CDB" w:rsidRDefault="00AF6E46" w:rsidP="00AF6E46">
      <w:pPr>
        <w:widowControl w:val="0"/>
        <w:autoSpaceDE w:val="0"/>
        <w:autoSpaceDN w:val="0"/>
        <w:adjustRightInd w:val="0"/>
        <w:spacing w:after="0" w:line="240" w:lineRule="auto"/>
        <w:rPr>
          <w:rFonts w:ascii="Times New Roman" w:hAnsi="Times New Roman"/>
          <w:b/>
          <w:i/>
          <w:sz w:val="24"/>
          <w:szCs w:val="24"/>
        </w:rPr>
      </w:pPr>
      <w:r w:rsidRPr="007A0CDB">
        <w:rPr>
          <w:rFonts w:cs="Calibri"/>
          <w:b/>
          <w:i/>
          <w:sz w:val="32"/>
          <w:szCs w:val="32"/>
        </w:rPr>
        <w:lastRenderedPageBreak/>
        <w:t>Kratkotrajna imovina</w:t>
      </w:r>
    </w:p>
    <w:p w:rsidR="00AF6E46" w:rsidRDefault="00AF6E46" w:rsidP="00AF6E46">
      <w:pPr>
        <w:widowControl w:val="0"/>
        <w:autoSpaceDE w:val="0"/>
        <w:autoSpaceDN w:val="0"/>
        <w:adjustRightInd w:val="0"/>
        <w:spacing w:after="0" w:line="376" w:lineRule="exact"/>
        <w:rPr>
          <w:rFonts w:ascii="Times New Roman" w:hAnsi="Times New Roman"/>
          <w:sz w:val="24"/>
          <w:szCs w:val="24"/>
        </w:rPr>
      </w:pPr>
    </w:p>
    <w:p w:rsidR="00AF6E46" w:rsidRPr="00AF6E46" w:rsidRDefault="00AF6E46" w:rsidP="00AF6E46">
      <w:pPr>
        <w:widowControl w:val="0"/>
        <w:overflowPunct w:val="0"/>
        <w:autoSpaceDE w:val="0"/>
        <w:autoSpaceDN w:val="0"/>
        <w:adjustRightInd w:val="0"/>
        <w:spacing w:after="0" w:line="240" w:lineRule="auto"/>
        <w:jc w:val="both"/>
        <w:rPr>
          <w:rFonts w:ascii="Times New Roman" w:hAnsi="Times New Roman"/>
          <w:sz w:val="24"/>
          <w:szCs w:val="24"/>
        </w:rPr>
      </w:pPr>
      <w:r w:rsidRPr="00AF6E46">
        <w:rPr>
          <w:rFonts w:ascii="Times New Roman" w:hAnsi="Times New Roman"/>
          <w:sz w:val="24"/>
          <w:szCs w:val="24"/>
        </w:rPr>
        <w:t>U 2015. godini Društvo je imalo kratkotrajne imovine u iznosu od 15,5 mil. kuna, grafikonom 4. prikazana je struktura takve imovine.</w:t>
      </w:r>
    </w:p>
    <w:p w:rsidR="00AF6E46" w:rsidRDefault="00AF6E46" w:rsidP="00AF6E46">
      <w:pPr>
        <w:widowControl w:val="0"/>
        <w:autoSpaceDE w:val="0"/>
        <w:autoSpaceDN w:val="0"/>
        <w:adjustRightInd w:val="0"/>
        <w:spacing w:after="0" w:line="267" w:lineRule="exact"/>
        <w:rPr>
          <w:rFonts w:ascii="Times New Roman" w:hAnsi="Times New Roman"/>
          <w:sz w:val="24"/>
          <w:szCs w:val="24"/>
        </w:rPr>
      </w:pPr>
    </w:p>
    <w:p w:rsidR="00AF6E46" w:rsidRDefault="00AF6E46" w:rsidP="00AF6E46">
      <w:pPr>
        <w:widowControl w:val="0"/>
        <w:autoSpaceDE w:val="0"/>
        <w:autoSpaceDN w:val="0"/>
        <w:adjustRightInd w:val="0"/>
        <w:spacing w:after="0" w:line="239" w:lineRule="auto"/>
        <w:rPr>
          <w:rFonts w:cs="Calibri"/>
          <w:b/>
          <w:bCs/>
        </w:rPr>
      </w:pPr>
      <w:r>
        <w:rPr>
          <w:rFonts w:cs="Calibri"/>
          <w:b/>
          <w:bCs/>
        </w:rPr>
        <w:t>Grafikon 4. Struktura kratkotrajne imovine Društva na dan 31.12.2015.</w:t>
      </w:r>
    </w:p>
    <w:p w:rsidR="00AF6E46" w:rsidRDefault="00AF6E46" w:rsidP="00AF6E46">
      <w:pPr>
        <w:widowControl w:val="0"/>
        <w:autoSpaceDE w:val="0"/>
        <w:autoSpaceDN w:val="0"/>
        <w:adjustRightInd w:val="0"/>
        <w:spacing w:after="0" w:line="239" w:lineRule="auto"/>
        <w:rPr>
          <w:rFonts w:ascii="Times New Roman" w:hAnsi="Times New Roman"/>
          <w:sz w:val="24"/>
          <w:szCs w:val="24"/>
        </w:rPr>
      </w:pPr>
      <w:r w:rsidRPr="00AF6E46">
        <w:rPr>
          <w:rFonts w:ascii="Times New Roman" w:hAnsi="Times New Roman"/>
          <w:noProof/>
          <w:sz w:val="24"/>
          <w:szCs w:val="24"/>
        </w:rPr>
        <w:drawing>
          <wp:inline distT="0" distB="0" distL="0" distR="0">
            <wp:extent cx="5753100" cy="2105025"/>
            <wp:effectExtent l="19050" t="0" r="0" b="0"/>
            <wp:docPr id="3"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F6E46" w:rsidRDefault="00AF6E46" w:rsidP="00F430E7">
      <w:pPr>
        <w:widowControl w:val="0"/>
        <w:autoSpaceDE w:val="0"/>
        <w:autoSpaceDN w:val="0"/>
        <w:adjustRightInd w:val="0"/>
        <w:spacing w:after="0" w:line="200" w:lineRule="exact"/>
        <w:rPr>
          <w:rFonts w:ascii="Times New Roman" w:hAnsi="Times New Roman"/>
          <w:sz w:val="24"/>
          <w:szCs w:val="24"/>
        </w:rPr>
      </w:pPr>
    </w:p>
    <w:p w:rsidR="00AF6E46" w:rsidRDefault="00AF6E46" w:rsidP="00AF6E46">
      <w:pPr>
        <w:widowControl w:val="0"/>
        <w:autoSpaceDE w:val="0"/>
        <w:autoSpaceDN w:val="0"/>
        <w:adjustRightInd w:val="0"/>
        <w:spacing w:after="0" w:line="270" w:lineRule="exact"/>
        <w:rPr>
          <w:rFonts w:ascii="Times New Roman" w:hAnsi="Times New Roman"/>
          <w:sz w:val="24"/>
          <w:szCs w:val="24"/>
        </w:rPr>
      </w:pPr>
    </w:p>
    <w:p w:rsidR="00AF6E46" w:rsidRPr="00AF6E46" w:rsidRDefault="00AF6E46" w:rsidP="00AF6E46">
      <w:pPr>
        <w:widowControl w:val="0"/>
        <w:overflowPunct w:val="0"/>
        <w:autoSpaceDE w:val="0"/>
        <w:autoSpaceDN w:val="0"/>
        <w:adjustRightInd w:val="0"/>
        <w:spacing w:after="0" w:line="240" w:lineRule="auto"/>
        <w:ind w:right="20"/>
        <w:jc w:val="both"/>
        <w:rPr>
          <w:rFonts w:ascii="Times New Roman" w:hAnsi="Times New Roman"/>
          <w:sz w:val="24"/>
          <w:szCs w:val="24"/>
        </w:rPr>
      </w:pPr>
      <w:r w:rsidRPr="00AF6E46">
        <w:rPr>
          <w:rFonts w:ascii="Times New Roman" w:hAnsi="Times New Roman"/>
          <w:sz w:val="24"/>
          <w:szCs w:val="24"/>
        </w:rPr>
        <w:t xml:space="preserve">Potraživanja od kupaca, kao stavka sa najvećim udjelom iznose 6,6 mil. kuna ili 43%,a  u 2015. se provelo vrijednosno usklađivanje potraživanja od kupaca koja su utužena u iznosu od 1.788.413 kuna.  Novac u banci i blagajni  čini udio od 40% kratkotrajne imovine ili 6,1 mil.kuna i ta se stavka povećala za oko 4 milijuna kuna u odnosu na 2014.god. Potraživanja od države i drugih institucija odnose se na potraživanja za pretporez koji se se ne može odbiti i potraživanja od HZZO-a za naknadu bolovanja. </w:t>
      </w:r>
    </w:p>
    <w:p w:rsidR="00AF6E46" w:rsidRPr="00AF6E46" w:rsidRDefault="00AF6E46" w:rsidP="00AF6E46">
      <w:pPr>
        <w:widowControl w:val="0"/>
        <w:autoSpaceDE w:val="0"/>
        <w:autoSpaceDN w:val="0"/>
        <w:adjustRightInd w:val="0"/>
        <w:spacing w:after="0" w:line="240" w:lineRule="auto"/>
        <w:jc w:val="both"/>
        <w:rPr>
          <w:rFonts w:ascii="Times New Roman" w:hAnsi="Times New Roman"/>
          <w:sz w:val="24"/>
          <w:szCs w:val="24"/>
        </w:rPr>
      </w:pPr>
    </w:p>
    <w:p w:rsidR="00824B2A" w:rsidRDefault="00824B2A" w:rsidP="00C47CD5">
      <w:pPr>
        <w:spacing w:line="240" w:lineRule="auto"/>
        <w:jc w:val="both"/>
        <w:rPr>
          <w:rFonts w:ascii="Times New Roman" w:hAnsi="Times New Roman"/>
          <w:sz w:val="24"/>
          <w:szCs w:val="24"/>
        </w:rPr>
      </w:pPr>
    </w:p>
    <w:p w:rsidR="004A16FA" w:rsidRDefault="004A16FA" w:rsidP="00C47CD5">
      <w:pPr>
        <w:spacing w:line="240" w:lineRule="auto"/>
        <w:jc w:val="both"/>
        <w:rPr>
          <w:rFonts w:ascii="Times New Roman" w:hAnsi="Times New Roman"/>
          <w:sz w:val="24"/>
          <w:szCs w:val="24"/>
        </w:rPr>
      </w:pPr>
    </w:p>
    <w:p w:rsidR="004A16FA" w:rsidRDefault="004A16FA" w:rsidP="00C47CD5">
      <w:pPr>
        <w:spacing w:line="240" w:lineRule="auto"/>
        <w:jc w:val="both"/>
        <w:rPr>
          <w:rFonts w:ascii="Times New Roman" w:hAnsi="Times New Roman"/>
          <w:sz w:val="24"/>
          <w:szCs w:val="24"/>
        </w:rPr>
      </w:pPr>
    </w:p>
    <w:p w:rsidR="004A16FA" w:rsidRDefault="004A16FA" w:rsidP="00C47CD5">
      <w:pPr>
        <w:spacing w:line="240" w:lineRule="auto"/>
        <w:jc w:val="both"/>
        <w:rPr>
          <w:rFonts w:ascii="Times New Roman" w:hAnsi="Times New Roman"/>
          <w:sz w:val="24"/>
          <w:szCs w:val="24"/>
        </w:rPr>
      </w:pPr>
    </w:p>
    <w:p w:rsidR="004A16FA" w:rsidRDefault="004A16FA" w:rsidP="00C47CD5">
      <w:pPr>
        <w:spacing w:line="240" w:lineRule="auto"/>
        <w:jc w:val="both"/>
        <w:rPr>
          <w:rFonts w:ascii="Times New Roman" w:hAnsi="Times New Roman"/>
          <w:sz w:val="24"/>
          <w:szCs w:val="24"/>
        </w:rPr>
      </w:pPr>
    </w:p>
    <w:p w:rsidR="004A16FA" w:rsidRDefault="004A16FA" w:rsidP="00C47CD5">
      <w:pPr>
        <w:spacing w:line="240" w:lineRule="auto"/>
        <w:jc w:val="both"/>
        <w:rPr>
          <w:rFonts w:ascii="Times New Roman" w:hAnsi="Times New Roman"/>
          <w:sz w:val="24"/>
          <w:szCs w:val="24"/>
        </w:rPr>
      </w:pPr>
    </w:p>
    <w:p w:rsidR="004A16FA" w:rsidRDefault="004A16FA" w:rsidP="00C47CD5">
      <w:pPr>
        <w:spacing w:line="240" w:lineRule="auto"/>
        <w:jc w:val="both"/>
        <w:rPr>
          <w:rFonts w:ascii="Times New Roman" w:hAnsi="Times New Roman"/>
          <w:sz w:val="24"/>
          <w:szCs w:val="24"/>
        </w:rPr>
      </w:pPr>
    </w:p>
    <w:p w:rsidR="004A16FA" w:rsidRDefault="004A16FA" w:rsidP="00C47CD5">
      <w:pPr>
        <w:spacing w:line="240" w:lineRule="auto"/>
        <w:jc w:val="both"/>
        <w:rPr>
          <w:rFonts w:ascii="Times New Roman" w:hAnsi="Times New Roman"/>
          <w:sz w:val="24"/>
          <w:szCs w:val="24"/>
        </w:rPr>
      </w:pPr>
    </w:p>
    <w:p w:rsidR="004A16FA" w:rsidRDefault="004A16FA" w:rsidP="00C47CD5">
      <w:pPr>
        <w:spacing w:line="240" w:lineRule="auto"/>
        <w:jc w:val="both"/>
        <w:rPr>
          <w:rFonts w:ascii="Times New Roman" w:hAnsi="Times New Roman"/>
          <w:sz w:val="24"/>
          <w:szCs w:val="24"/>
        </w:rPr>
      </w:pPr>
    </w:p>
    <w:p w:rsidR="004A16FA" w:rsidRDefault="004A16FA" w:rsidP="00C47CD5">
      <w:pPr>
        <w:spacing w:line="240" w:lineRule="auto"/>
        <w:jc w:val="both"/>
        <w:rPr>
          <w:rFonts w:ascii="Times New Roman" w:hAnsi="Times New Roman"/>
          <w:sz w:val="24"/>
          <w:szCs w:val="24"/>
        </w:rPr>
      </w:pPr>
    </w:p>
    <w:p w:rsidR="004A16FA" w:rsidRDefault="004A16FA" w:rsidP="00C47CD5">
      <w:pPr>
        <w:spacing w:line="240" w:lineRule="auto"/>
        <w:jc w:val="both"/>
        <w:rPr>
          <w:rFonts w:ascii="Times New Roman" w:hAnsi="Times New Roman"/>
          <w:sz w:val="24"/>
          <w:szCs w:val="24"/>
        </w:rPr>
      </w:pPr>
    </w:p>
    <w:p w:rsidR="004A16FA" w:rsidRDefault="004A16FA" w:rsidP="00C47CD5">
      <w:pPr>
        <w:spacing w:line="240" w:lineRule="auto"/>
        <w:jc w:val="both"/>
        <w:rPr>
          <w:rFonts w:ascii="Times New Roman" w:hAnsi="Times New Roman"/>
          <w:sz w:val="24"/>
          <w:szCs w:val="24"/>
        </w:rPr>
      </w:pPr>
    </w:p>
    <w:p w:rsidR="007A0CDB" w:rsidRDefault="007A0CDB" w:rsidP="004A16FA">
      <w:pPr>
        <w:widowControl w:val="0"/>
        <w:autoSpaceDE w:val="0"/>
        <w:autoSpaceDN w:val="0"/>
        <w:adjustRightInd w:val="0"/>
        <w:spacing w:after="0" w:line="240" w:lineRule="auto"/>
        <w:rPr>
          <w:rFonts w:ascii="Times New Roman" w:hAnsi="Times New Roman"/>
          <w:sz w:val="24"/>
          <w:szCs w:val="24"/>
        </w:rPr>
      </w:pPr>
    </w:p>
    <w:p w:rsidR="007A0CDB" w:rsidRDefault="007A0CDB" w:rsidP="004A16FA">
      <w:pPr>
        <w:widowControl w:val="0"/>
        <w:autoSpaceDE w:val="0"/>
        <w:autoSpaceDN w:val="0"/>
        <w:adjustRightInd w:val="0"/>
        <w:spacing w:after="0" w:line="240" w:lineRule="auto"/>
        <w:rPr>
          <w:rFonts w:ascii="Times New Roman" w:hAnsi="Times New Roman"/>
          <w:sz w:val="24"/>
          <w:szCs w:val="24"/>
        </w:rPr>
      </w:pPr>
    </w:p>
    <w:p w:rsidR="004A16FA" w:rsidRDefault="004A16FA" w:rsidP="004A16FA">
      <w:pPr>
        <w:widowControl w:val="0"/>
        <w:autoSpaceDE w:val="0"/>
        <w:autoSpaceDN w:val="0"/>
        <w:adjustRightInd w:val="0"/>
        <w:spacing w:after="0" w:line="240" w:lineRule="auto"/>
        <w:rPr>
          <w:rFonts w:ascii="Times New Roman" w:hAnsi="Times New Roman"/>
          <w:sz w:val="24"/>
          <w:szCs w:val="24"/>
        </w:rPr>
      </w:pPr>
      <w:r>
        <w:rPr>
          <w:rFonts w:cs="Calibri"/>
          <w:b/>
          <w:bCs/>
          <w:sz w:val="32"/>
          <w:szCs w:val="32"/>
        </w:rPr>
        <w:lastRenderedPageBreak/>
        <w:t>3. UPRAVLJANJE RIZICIMA</w:t>
      </w:r>
    </w:p>
    <w:p w:rsidR="004A16FA" w:rsidRPr="004A16FA" w:rsidRDefault="004A16FA" w:rsidP="004A16FA">
      <w:pPr>
        <w:widowControl w:val="0"/>
        <w:autoSpaceDE w:val="0"/>
        <w:autoSpaceDN w:val="0"/>
        <w:adjustRightInd w:val="0"/>
        <w:spacing w:after="0" w:line="240" w:lineRule="auto"/>
        <w:jc w:val="both"/>
        <w:rPr>
          <w:rFonts w:ascii="Times New Roman" w:hAnsi="Times New Roman"/>
          <w:sz w:val="24"/>
          <w:szCs w:val="24"/>
        </w:rPr>
      </w:pPr>
    </w:p>
    <w:p w:rsidR="004A16FA" w:rsidRPr="004A16FA" w:rsidRDefault="004A16FA" w:rsidP="004A16FA">
      <w:pPr>
        <w:widowControl w:val="0"/>
        <w:overflowPunct w:val="0"/>
        <w:autoSpaceDE w:val="0"/>
        <w:autoSpaceDN w:val="0"/>
        <w:adjustRightInd w:val="0"/>
        <w:spacing w:after="0" w:line="240" w:lineRule="auto"/>
        <w:jc w:val="both"/>
        <w:rPr>
          <w:rFonts w:ascii="Times New Roman" w:hAnsi="Times New Roman"/>
          <w:sz w:val="24"/>
          <w:szCs w:val="24"/>
        </w:rPr>
      </w:pPr>
      <w:r w:rsidRPr="004A16FA">
        <w:rPr>
          <w:rFonts w:ascii="Times New Roman" w:hAnsi="Times New Roman"/>
          <w:sz w:val="24"/>
          <w:szCs w:val="24"/>
        </w:rPr>
        <w:t>U okviru ove stavke dane su osnovne informacije o rizicima poslovanja koji se mogu pojaviti, načine na koji ih se namjerava kontrolirati te financijski pokazatelji poslovanja Društva.</w:t>
      </w:r>
    </w:p>
    <w:p w:rsidR="004A16FA" w:rsidRDefault="004A16FA" w:rsidP="004A16FA">
      <w:pPr>
        <w:widowControl w:val="0"/>
        <w:autoSpaceDE w:val="0"/>
        <w:autoSpaceDN w:val="0"/>
        <w:adjustRightInd w:val="0"/>
        <w:spacing w:after="0" w:line="200" w:lineRule="exact"/>
        <w:rPr>
          <w:rFonts w:ascii="Times New Roman" w:hAnsi="Times New Roman"/>
          <w:sz w:val="24"/>
          <w:szCs w:val="24"/>
        </w:rPr>
      </w:pPr>
    </w:p>
    <w:p w:rsidR="004A16FA" w:rsidRDefault="004A16FA" w:rsidP="004A16FA">
      <w:pPr>
        <w:widowControl w:val="0"/>
        <w:autoSpaceDE w:val="0"/>
        <w:autoSpaceDN w:val="0"/>
        <w:adjustRightInd w:val="0"/>
        <w:spacing w:after="0" w:line="208" w:lineRule="exact"/>
        <w:rPr>
          <w:rFonts w:ascii="Times New Roman" w:hAnsi="Times New Roman"/>
          <w:sz w:val="24"/>
          <w:szCs w:val="24"/>
        </w:rPr>
      </w:pPr>
    </w:p>
    <w:p w:rsidR="004A16FA" w:rsidRPr="007A0CDB" w:rsidRDefault="004A16FA" w:rsidP="004A16FA">
      <w:pPr>
        <w:widowControl w:val="0"/>
        <w:autoSpaceDE w:val="0"/>
        <w:autoSpaceDN w:val="0"/>
        <w:adjustRightInd w:val="0"/>
        <w:spacing w:after="0" w:line="240" w:lineRule="auto"/>
        <w:rPr>
          <w:rFonts w:ascii="Times New Roman" w:hAnsi="Times New Roman"/>
          <w:i/>
          <w:sz w:val="24"/>
          <w:szCs w:val="24"/>
        </w:rPr>
      </w:pPr>
      <w:r w:rsidRPr="007A0CDB">
        <w:rPr>
          <w:rFonts w:cs="Calibri"/>
          <w:b/>
          <w:bCs/>
          <w:i/>
          <w:sz w:val="32"/>
          <w:szCs w:val="32"/>
        </w:rPr>
        <w:t xml:space="preserve"> Kamatni rizik</w:t>
      </w:r>
    </w:p>
    <w:p w:rsidR="004A16FA" w:rsidRDefault="004A16FA" w:rsidP="004A16FA">
      <w:pPr>
        <w:widowControl w:val="0"/>
        <w:autoSpaceDE w:val="0"/>
        <w:autoSpaceDN w:val="0"/>
        <w:adjustRightInd w:val="0"/>
        <w:spacing w:after="0" w:line="224" w:lineRule="exact"/>
        <w:rPr>
          <w:rFonts w:ascii="Times New Roman" w:hAnsi="Times New Roman"/>
          <w:sz w:val="24"/>
          <w:szCs w:val="24"/>
        </w:rPr>
      </w:pPr>
    </w:p>
    <w:p w:rsidR="004A16FA" w:rsidRPr="004A16FA" w:rsidRDefault="004A16FA" w:rsidP="004A16FA">
      <w:pPr>
        <w:widowControl w:val="0"/>
        <w:overflowPunct w:val="0"/>
        <w:autoSpaceDE w:val="0"/>
        <w:autoSpaceDN w:val="0"/>
        <w:adjustRightInd w:val="0"/>
        <w:spacing w:after="0" w:line="240" w:lineRule="auto"/>
        <w:jc w:val="both"/>
        <w:rPr>
          <w:rFonts w:ascii="Times New Roman" w:hAnsi="Times New Roman"/>
          <w:sz w:val="24"/>
          <w:szCs w:val="24"/>
        </w:rPr>
      </w:pPr>
      <w:r w:rsidRPr="004A16FA">
        <w:rPr>
          <w:rFonts w:ascii="Times New Roman" w:hAnsi="Times New Roman"/>
          <w:sz w:val="24"/>
          <w:szCs w:val="24"/>
        </w:rPr>
        <w:t>Kamatni rizik proizlazi iz mogućih promjena razina kamatnih stopa na tržištu kapitala, što povlači i visinu cijene tuđih izvora kapitala. Društvo ne provodi aktivnu zaštitu od izloženosti riziku kamatnih stopa.</w:t>
      </w:r>
    </w:p>
    <w:p w:rsidR="004A16FA" w:rsidRPr="004A16FA" w:rsidRDefault="004A16FA" w:rsidP="004A16FA">
      <w:pPr>
        <w:widowControl w:val="0"/>
        <w:autoSpaceDE w:val="0"/>
        <w:autoSpaceDN w:val="0"/>
        <w:adjustRightInd w:val="0"/>
        <w:spacing w:after="0" w:line="240" w:lineRule="auto"/>
        <w:jc w:val="both"/>
        <w:rPr>
          <w:rFonts w:ascii="Times New Roman" w:hAnsi="Times New Roman"/>
          <w:sz w:val="24"/>
          <w:szCs w:val="24"/>
        </w:rPr>
      </w:pPr>
    </w:p>
    <w:p w:rsidR="004A16FA" w:rsidRPr="004A16FA" w:rsidRDefault="004A16FA" w:rsidP="004A16FA">
      <w:pPr>
        <w:widowControl w:val="0"/>
        <w:overflowPunct w:val="0"/>
        <w:autoSpaceDE w:val="0"/>
        <w:autoSpaceDN w:val="0"/>
        <w:adjustRightInd w:val="0"/>
        <w:spacing w:after="0" w:line="240" w:lineRule="auto"/>
        <w:ind w:right="20"/>
        <w:jc w:val="both"/>
        <w:rPr>
          <w:rFonts w:ascii="Times New Roman" w:hAnsi="Times New Roman"/>
          <w:sz w:val="24"/>
          <w:szCs w:val="24"/>
        </w:rPr>
      </w:pPr>
      <w:r w:rsidRPr="004A16FA">
        <w:rPr>
          <w:rFonts w:ascii="Times New Roman" w:hAnsi="Times New Roman"/>
          <w:sz w:val="24"/>
          <w:szCs w:val="24"/>
        </w:rPr>
        <w:t>Dio zaduženosti kod poslovnih banaka dijelom se odnosi na financijski leasing, a dijelom na dugoročni kredit kod Privredne banke Zagreb. Rizik kamatnih stopa kod tijeka novca je rizik da će troškovi kamata na financijske instrumente biti promjenjivi tijekom razdoblja. Društvo nema značajne iznose kreditnih obveza, samim time nije izloženo riziku novčanog toka.</w:t>
      </w:r>
    </w:p>
    <w:p w:rsidR="004A16FA" w:rsidRDefault="004A16FA" w:rsidP="004A16FA">
      <w:pPr>
        <w:widowControl w:val="0"/>
        <w:autoSpaceDE w:val="0"/>
        <w:autoSpaceDN w:val="0"/>
        <w:adjustRightInd w:val="0"/>
        <w:spacing w:after="0" w:line="360" w:lineRule="exact"/>
        <w:rPr>
          <w:rFonts w:ascii="Times New Roman" w:hAnsi="Times New Roman"/>
          <w:sz w:val="24"/>
          <w:szCs w:val="24"/>
        </w:rPr>
      </w:pPr>
    </w:p>
    <w:p w:rsidR="004A16FA" w:rsidRPr="007A0CDB" w:rsidRDefault="004A16FA" w:rsidP="004A16FA">
      <w:pPr>
        <w:widowControl w:val="0"/>
        <w:autoSpaceDE w:val="0"/>
        <w:autoSpaceDN w:val="0"/>
        <w:adjustRightInd w:val="0"/>
        <w:spacing w:after="0" w:line="240" w:lineRule="auto"/>
        <w:rPr>
          <w:rFonts w:ascii="Times New Roman" w:hAnsi="Times New Roman"/>
          <w:i/>
          <w:sz w:val="24"/>
          <w:szCs w:val="24"/>
        </w:rPr>
      </w:pPr>
      <w:r>
        <w:rPr>
          <w:rFonts w:cs="Calibri"/>
          <w:b/>
          <w:bCs/>
          <w:sz w:val="32"/>
          <w:szCs w:val="32"/>
        </w:rPr>
        <w:t xml:space="preserve"> </w:t>
      </w:r>
      <w:r w:rsidRPr="007A0CDB">
        <w:rPr>
          <w:rFonts w:cs="Calibri"/>
          <w:b/>
          <w:bCs/>
          <w:i/>
          <w:sz w:val="32"/>
          <w:szCs w:val="32"/>
        </w:rPr>
        <w:t>Kreditni rizik</w:t>
      </w:r>
    </w:p>
    <w:p w:rsidR="004A16FA" w:rsidRDefault="004A16FA" w:rsidP="004A16FA">
      <w:pPr>
        <w:widowControl w:val="0"/>
        <w:autoSpaceDE w:val="0"/>
        <w:autoSpaceDN w:val="0"/>
        <w:adjustRightInd w:val="0"/>
        <w:spacing w:after="0" w:line="376" w:lineRule="exact"/>
        <w:rPr>
          <w:rFonts w:ascii="Times New Roman" w:hAnsi="Times New Roman"/>
          <w:sz w:val="24"/>
          <w:szCs w:val="24"/>
        </w:rPr>
      </w:pPr>
    </w:p>
    <w:p w:rsidR="004A16FA" w:rsidRPr="004A16FA" w:rsidRDefault="004A16FA" w:rsidP="004A16FA">
      <w:pPr>
        <w:widowControl w:val="0"/>
        <w:overflowPunct w:val="0"/>
        <w:autoSpaceDE w:val="0"/>
        <w:autoSpaceDN w:val="0"/>
        <w:adjustRightInd w:val="0"/>
        <w:spacing w:after="0" w:line="240" w:lineRule="auto"/>
        <w:jc w:val="both"/>
        <w:rPr>
          <w:rFonts w:ascii="Times New Roman" w:hAnsi="Times New Roman"/>
          <w:sz w:val="24"/>
          <w:szCs w:val="24"/>
        </w:rPr>
      </w:pPr>
      <w:r w:rsidRPr="004A16FA">
        <w:rPr>
          <w:rFonts w:ascii="Times New Roman" w:hAnsi="Times New Roman"/>
          <w:sz w:val="24"/>
          <w:szCs w:val="24"/>
        </w:rPr>
        <w:t>Društvo je izloženo umjerenom kreditnom riziku koji proizlazi uglavnom iz potraživanja od kupaca i ostalih potraživanja. Ukupna potraživanja od kupaca na dan 31.12.2015. godine iznosila su 6.691.441 kuna.</w:t>
      </w:r>
    </w:p>
    <w:p w:rsidR="004A16FA" w:rsidRPr="004A16FA" w:rsidRDefault="004A16FA" w:rsidP="004A16FA">
      <w:pPr>
        <w:widowControl w:val="0"/>
        <w:autoSpaceDE w:val="0"/>
        <w:autoSpaceDN w:val="0"/>
        <w:adjustRightInd w:val="0"/>
        <w:spacing w:after="0" w:line="240" w:lineRule="auto"/>
        <w:jc w:val="both"/>
        <w:rPr>
          <w:rFonts w:ascii="Times New Roman" w:hAnsi="Times New Roman"/>
          <w:sz w:val="24"/>
          <w:szCs w:val="24"/>
        </w:rPr>
      </w:pPr>
    </w:p>
    <w:p w:rsidR="004A16FA" w:rsidRPr="004A16FA" w:rsidRDefault="004A16FA" w:rsidP="004A16FA">
      <w:pPr>
        <w:widowControl w:val="0"/>
        <w:overflowPunct w:val="0"/>
        <w:autoSpaceDE w:val="0"/>
        <w:autoSpaceDN w:val="0"/>
        <w:adjustRightInd w:val="0"/>
        <w:spacing w:after="0" w:line="240" w:lineRule="auto"/>
        <w:ind w:right="20"/>
        <w:jc w:val="both"/>
        <w:rPr>
          <w:rFonts w:ascii="Times New Roman" w:hAnsi="Times New Roman"/>
          <w:sz w:val="24"/>
          <w:szCs w:val="24"/>
        </w:rPr>
      </w:pPr>
      <w:r w:rsidRPr="004A16FA">
        <w:rPr>
          <w:rFonts w:ascii="Times New Roman" w:hAnsi="Times New Roman"/>
          <w:sz w:val="24"/>
          <w:szCs w:val="24"/>
        </w:rPr>
        <w:t>Kreditni rizik vezan za potraživanja od kupaca, prisutan je u određenoj mjeri budući je naplata određenih potraživanja neizvjesna i sporna. Maksimalan iznos kreditnog rizika jednak je nominalnoj vrijednosti tih potraživanja. Društvo nema drugih značajnijih koncentracija kreditnog rizika.</w:t>
      </w:r>
    </w:p>
    <w:p w:rsidR="004A16FA" w:rsidRDefault="004A16FA" w:rsidP="004A16FA">
      <w:pPr>
        <w:widowControl w:val="0"/>
        <w:autoSpaceDE w:val="0"/>
        <w:autoSpaceDN w:val="0"/>
        <w:adjustRightInd w:val="0"/>
        <w:spacing w:after="0" w:line="200" w:lineRule="exact"/>
        <w:rPr>
          <w:rFonts w:ascii="Times New Roman" w:hAnsi="Times New Roman"/>
          <w:sz w:val="24"/>
          <w:szCs w:val="24"/>
        </w:rPr>
      </w:pPr>
    </w:p>
    <w:p w:rsidR="004A16FA" w:rsidRDefault="004A16FA" w:rsidP="004A16FA">
      <w:pPr>
        <w:widowControl w:val="0"/>
        <w:autoSpaceDE w:val="0"/>
        <w:autoSpaceDN w:val="0"/>
        <w:adjustRightInd w:val="0"/>
        <w:spacing w:after="0" w:line="210" w:lineRule="exact"/>
        <w:rPr>
          <w:rFonts w:ascii="Times New Roman" w:hAnsi="Times New Roman"/>
          <w:sz w:val="24"/>
          <w:szCs w:val="24"/>
        </w:rPr>
      </w:pPr>
    </w:p>
    <w:p w:rsidR="004A16FA" w:rsidRPr="007A0CDB" w:rsidRDefault="004A16FA" w:rsidP="004A16FA">
      <w:pPr>
        <w:widowControl w:val="0"/>
        <w:autoSpaceDE w:val="0"/>
        <w:autoSpaceDN w:val="0"/>
        <w:adjustRightInd w:val="0"/>
        <w:spacing w:after="0" w:line="240" w:lineRule="auto"/>
        <w:rPr>
          <w:rFonts w:ascii="Times New Roman" w:hAnsi="Times New Roman"/>
          <w:i/>
          <w:sz w:val="24"/>
          <w:szCs w:val="24"/>
        </w:rPr>
      </w:pPr>
      <w:r w:rsidRPr="007A0CDB">
        <w:rPr>
          <w:rFonts w:cs="Calibri"/>
          <w:b/>
          <w:bCs/>
          <w:i/>
          <w:sz w:val="32"/>
          <w:szCs w:val="32"/>
        </w:rPr>
        <w:t>Rizik likvidnosti</w:t>
      </w:r>
    </w:p>
    <w:p w:rsidR="004A16FA" w:rsidRDefault="004A16FA" w:rsidP="004A16FA">
      <w:pPr>
        <w:widowControl w:val="0"/>
        <w:autoSpaceDE w:val="0"/>
        <w:autoSpaceDN w:val="0"/>
        <w:adjustRightInd w:val="0"/>
        <w:spacing w:after="0" w:line="376" w:lineRule="exact"/>
        <w:rPr>
          <w:rFonts w:ascii="Times New Roman" w:hAnsi="Times New Roman"/>
          <w:sz w:val="24"/>
          <w:szCs w:val="24"/>
        </w:rPr>
      </w:pPr>
    </w:p>
    <w:p w:rsidR="004A16FA" w:rsidRPr="00F27FAC" w:rsidRDefault="004A16FA" w:rsidP="00F27FAC">
      <w:pPr>
        <w:widowControl w:val="0"/>
        <w:overflowPunct w:val="0"/>
        <w:autoSpaceDE w:val="0"/>
        <w:autoSpaceDN w:val="0"/>
        <w:adjustRightInd w:val="0"/>
        <w:spacing w:after="0" w:line="240" w:lineRule="auto"/>
        <w:ind w:right="20"/>
        <w:jc w:val="both"/>
        <w:rPr>
          <w:rFonts w:ascii="Times New Roman" w:hAnsi="Times New Roman"/>
          <w:sz w:val="24"/>
          <w:szCs w:val="24"/>
        </w:rPr>
      </w:pPr>
      <w:r w:rsidRPr="00F27FAC">
        <w:rPr>
          <w:rFonts w:ascii="Times New Roman" w:hAnsi="Times New Roman"/>
          <w:sz w:val="24"/>
          <w:szCs w:val="24"/>
        </w:rPr>
        <w:t>Rizik likvidnosti ili rizik financiranja, je rizik da će društvo imati poteškoća u prikupljanju sredstava za podmirenje obveza povezanih s financijskim instrumentima.</w:t>
      </w:r>
    </w:p>
    <w:p w:rsidR="004A16FA" w:rsidRPr="00F27FAC" w:rsidRDefault="004A16FA" w:rsidP="00F27FAC">
      <w:pPr>
        <w:widowControl w:val="0"/>
        <w:autoSpaceDE w:val="0"/>
        <w:autoSpaceDN w:val="0"/>
        <w:adjustRightInd w:val="0"/>
        <w:spacing w:after="0" w:line="240" w:lineRule="auto"/>
        <w:jc w:val="both"/>
        <w:rPr>
          <w:rFonts w:ascii="Times New Roman" w:hAnsi="Times New Roman"/>
          <w:sz w:val="24"/>
          <w:szCs w:val="24"/>
        </w:rPr>
      </w:pPr>
    </w:p>
    <w:p w:rsidR="004A16FA" w:rsidRPr="00F27FAC" w:rsidRDefault="004A16FA" w:rsidP="00F27FAC">
      <w:pPr>
        <w:widowControl w:val="0"/>
        <w:overflowPunct w:val="0"/>
        <w:autoSpaceDE w:val="0"/>
        <w:autoSpaceDN w:val="0"/>
        <w:adjustRightInd w:val="0"/>
        <w:spacing w:after="0" w:line="240" w:lineRule="auto"/>
        <w:jc w:val="both"/>
        <w:rPr>
          <w:rFonts w:ascii="Times New Roman" w:hAnsi="Times New Roman"/>
          <w:sz w:val="24"/>
          <w:szCs w:val="24"/>
        </w:rPr>
      </w:pPr>
      <w:r w:rsidRPr="00F27FAC">
        <w:rPr>
          <w:rFonts w:ascii="Times New Roman" w:hAnsi="Times New Roman"/>
          <w:sz w:val="24"/>
          <w:szCs w:val="24"/>
        </w:rPr>
        <w:t>Prema izvještaju o novčanim tijekovima za razdoblje od 1. siječnja do 31. prosinca 20</w:t>
      </w:r>
      <w:r w:rsidR="00E05046">
        <w:rPr>
          <w:rFonts w:ascii="Times New Roman" w:hAnsi="Times New Roman"/>
          <w:sz w:val="24"/>
          <w:szCs w:val="24"/>
        </w:rPr>
        <w:t>15. godine vidljivo je ostvareni</w:t>
      </w:r>
      <w:r w:rsidRPr="00F27FAC">
        <w:rPr>
          <w:rFonts w:ascii="Times New Roman" w:hAnsi="Times New Roman"/>
          <w:sz w:val="24"/>
          <w:szCs w:val="24"/>
        </w:rPr>
        <w:t xml:space="preserve"> neto </w:t>
      </w:r>
      <w:r w:rsidR="00E05046">
        <w:rPr>
          <w:rFonts w:ascii="Times New Roman" w:hAnsi="Times New Roman"/>
          <w:sz w:val="24"/>
          <w:szCs w:val="24"/>
        </w:rPr>
        <w:t>rast</w:t>
      </w:r>
      <w:r w:rsidRPr="00F27FAC">
        <w:rPr>
          <w:rFonts w:ascii="Times New Roman" w:hAnsi="Times New Roman"/>
          <w:sz w:val="24"/>
          <w:szCs w:val="24"/>
        </w:rPr>
        <w:t xml:space="preserve"> novca na kraju navedenog razdoblja u iznosu od </w:t>
      </w:r>
      <w:r w:rsidR="00E05046" w:rsidRPr="00E05046">
        <w:rPr>
          <w:rFonts w:ascii="Times New Roman" w:hAnsi="Times New Roman"/>
          <w:sz w:val="24"/>
          <w:szCs w:val="24"/>
        </w:rPr>
        <w:t>3.766.058,11</w:t>
      </w:r>
      <w:r w:rsidR="00E05046">
        <w:rPr>
          <w:rFonts w:ascii="Times New Roman" w:hAnsi="Times New Roman"/>
          <w:color w:val="FF0000"/>
          <w:sz w:val="24"/>
          <w:szCs w:val="24"/>
        </w:rPr>
        <w:t xml:space="preserve"> </w:t>
      </w:r>
      <w:r w:rsidRPr="00F27FAC">
        <w:rPr>
          <w:rFonts w:ascii="Times New Roman" w:hAnsi="Times New Roman"/>
          <w:sz w:val="24"/>
          <w:szCs w:val="24"/>
        </w:rPr>
        <w:t>kuna.</w:t>
      </w:r>
    </w:p>
    <w:p w:rsidR="004A16FA" w:rsidRDefault="004A16FA" w:rsidP="004A16FA">
      <w:pPr>
        <w:widowControl w:val="0"/>
        <w:autoSpaceDE w:val="0"/>
        <w:autoSpaceDN w:val="0"/>
        <w:adjustRightInd w:val="0"/>
        <w:spacing w:after="0" w:line="200" w:lineRule="exact"/>
        <w:rPr>
          <w:rFonts w:ascii="Times New Roman" w:hAnsi="Times New Roman"/>
          <w:sz w:val="24"/>
          <w:szCs w:val="24"/>
        </w:rPr>
      </w:pPr>
    </w:p>
    <w:p w:rsidR="004A16FA" w:rsidRDefault="004A16FA" w:rsidP="004A16FA">
      <w:pPr>
        <w:widowControl w:val="0"/>
        <w:autoSpaceDE w:val="0"/>
        <w:autoSpaceDN w:val="0"/>
        <w:adjustRightInd w:val="0"/>
        <w:spacing w:after="0" w:line="200" w:lineRule="exact"/>
        <w:rPr>
          <w:rFonts w:ascii="Times New Roman" w:hAnsi="Times New Roman"/>
          <w:sz w:val="24"/>
          <w:szCs w:val="24"/>
        </w:rPr>
      </w:pPr>
    </w:p>
    <w:p w:rsidR="004A16FA" w:rsidRDefault="004A16FA" w:rsidP="004A16FA">
      <w:pPr>
        <w:widowControl w:val="0"/>
        <w:autoSpaceDE w:val="0"/>
        <w:autoSpaceDN w:val="0"/>
        <w:adjustRightInd w:val="0"/>
        <w:spacing w:after="0" w:line="205" w:lineRule="exact"/>
        <w:rPr>
          <w:rFonts w:ascii="Times New Roman" w:hAnsi="Times New Roman"/>
          <w:sz w:val="24"/>
          <w:szCs w:val="24"/>
        </w:rPr>
      </w:pPr>
    </w:p>
    <w:p w:rsidR="005558F5" w:rsidRDefault="005558F5" w:rsidP="004A16FA">
      <w:pPr>
        <w:widowControl w:val="0"/>
        <w:autoSpaceDE w:val="0"/>
        <w:autoSpaceDN w:val="0"/>
        <w:adjustRightInd w:val="0"/>
        <w:spacing w:after="0" w:line="240" w:lineRule="auto"/>
        <w:rPr>
          <w:rFonts w:cs="Calibri"/>
          <w:b/>
          <w:bCs/>
          <w:sz w:val="32"/>
          <w:szCs w:val="32"/>
        </w:rPr>
      </w:pPr>
    </w:p>
    <w:p w:rsidR="005558F5" w:rsidRDefault="005558F5" w:rsidP="004A16FA">
      <w:pPr>
        <w:widowControl w:val="0"/>
        <w:autoSpaceDE w:val="0"/>
        <w:autoSpaceDN w:val="0"/>
        <w:adjustRightInd w:val="0"/>
        <w:spacing w:after="0" w:line="240" w:lineRule="auto"/>
        <w:rPr>
          <w:rFonts w:cs="Calibri"/>
          <w:b/>
          <w:bCs/>
          <w:sz w:val="32"/>
          <w:szCs w:val="32"/>
        </w:rPr>
      </w:pPr>
    </w:p>
    <w:p w:rsidR="005558F5" w:rsidRDefault="005558F5" w:rsidP="004A16FA">
      <w:pPr>
        <w:widowControl w:val="0"/>
        <w:autoSpaceDE w:val="0"/>
        <w:autoSpaceDN w:val="0"/>
        <w:adjustRightInd w:val="0"/>
        <w:spacing w:after="0" w:line="240" w:lineRule="auto"/>
        <w:rPr>
          <w:rFonts w:cs="Calibri"/>
          <w:b/>
          <w:bCs/>
          <w:sz w:val="32"/>
          <w:szCs w:val="32"/>
        </w:rPr>
      </w:pPr>
    </w:p>
    <w:p w:rsidR="009C6F78" w:rsidRDefault="009C6F78" w:rsidP="004A16FA">
      <w:pPr>
        <w:widowControl w:val="0"/>
        <w:autoSpaceDE w:val="0"/>
        <w:autoSpaceDN w:val="0"/>
        <w:adjustRightInd w:val="0"/>
        <w:spacing w:after="0" w:line="240" w:lineRule="auto"/>
        <w:rPr>
          <w:rFonts w:cs="Calibri"/>
          <w:b/>
          <w:bCs/>
          <w:sz w:val="32"/>
          <w:szCs w:val="32"/>
        </w:rPr>
      </w:pPr>
    </w:p>
    <w:p w:rsidR="009C6F78" w:rsidRDefault="009C6F78" w:rsidP="004A16FA">
      <w:pPr>
        <w:widowControl w:val="0"/>
        <w:autoSpaceDE w:val="0"/>
        <w:autoSpaceDN w:val="0"/>
        <w:adjustRightInd w:val="0"/>
        <w:spacing w:after="0" w:line="240" w:lineRule="auto"/>
        <w:rPr>
          <w:rFonts w:cs="Calibri"/>
          <w:b/>
          <w:bCs/>
          <w:sz w:val="32"/>
          <w:szCs w:val="32"/>
        </w:rPr>
      </w:pPr>
    </w:p>
    <w:p w:rsidR="009C6F78" w:rsidRDefault="009C6F78" w:rsidP="004A16FA">
      <w:pPr>
        <w:widowControl w:val="0"/>
        <w:autoSpaceDE w:val="0"/>
        <w:autoSpaceDN w:val="0"/>
        <w:adjustRightInd w:val="0"/>
        <w:spacing w:after="0" w:line="240" w:lineRule="auto"/>
        <w:rPr>
          <w:rFonts w:cs="Calibri"/>
          <w:b/>
          <w:bCs/>
          <w:sz w:val="32"/>
          <w:szCs w:val="32"/>
        </w:rPr>
      </w:pPr>
    </w:p>
    <w:p w:rsidR="007A0CDB" w:rsidRDefault="007A0CDB" w:rsidP="004A16FA">
      <w:pPr>
        <w:widowControl w:val="0"/>
        <w:autoSpaceDE w:val="0"/>
        <w:autoSpaceDN w:val="0"/>
        <w:adjustRightInd w:val="0"/>
        <w:spacing w:after="0" w:line="240" w:lineRule="auto"/>
        <w:rPr>
          <w:rFonts w:cs="Calibri"/>
          <w:b/>
          <w:bCs/>
          <w:sz w:val="32"/>
          <w:szCs w:val="32"/>
        </w:rPr>
      </w:pPr>
    </w:p>
    <w:p w:rsidR="004A16FA" w:rsidRDefault="004A16FA" w:rsidP="004A16FA">
      <w:pPr>
        <w:widowControl w:val="0"/>
        <w:autoSpaceDE w:val="0"/>
        <w:autoSpaceDN w:val="0"/>
        <w:adjustRightInd w:val="0"/>
        <w:spacing w:after="0" w:line="240" w:lineRule="auto"/>
        <w:rPr>
          <w:rFonts w:ascii="Times New Roman" w:hAnsi="Times New Roman"/>
          <w:sz w:val="24"/>
          <w:szCs w:val="24"/>
        </w:rPr>
      </w:pPr>
      <w:r>
        <w:rPr>
          <w:rFonts w:cs="Calibri"/>
          <w:b/>
          <w:bCs/>
          <w:sz w:val="32"/>
          <w:szCs w:val="32"/>
        </w:rPr>
        <w:lastRenderedPageBreak/>
        <w:t>3.4. Financijski pokazatelji poslovanja</w:t>
      </w:r>
    </w:p>
    <w:p w:rsidR="004A16FA" w:rsidRPr="004A16FA" w:rsidRDefault="004A16FA" w:rsidP="004A16FA">
      <w:pPr>
        <w:widowControl w:val="0"/>
        <w:autoSpaceDE w:val="0"/>
        <w:autoSpaceDN w:val="0"/>
        <w:adjustRightInd w:val="0"/>
        <w:spacing w:after="0" w:line="240" w:lineRule="auto"/>
        <w:jc w:val="both"/>
        <w:rPr>
          <w:rFonts w:ascii="Times New Roman" w:hAnsi="Times New Roman"/>
          <w:sz w:val="24"/>
          <w:szCs w:val="24"/>
        </w:rPr>
      </w:pPr>
    </w:p>
    <w:p w:rsidR="004A16FA" w:rsidRPr="004A16FA" w:rsidRDefault="004A16FA" w:rsidP="004A16FA">
      <w:pPr>
        <w:widowControl w:val="0"/>
        <w:overflowPunct w:val="0"/>
        <w:autoSpaceDE w:val="0"/>
        <w:autoSpaceDN w:val="0"/>
        <w:adjustRightInd w:val="0"/>
        <w:spacing w:after="0" w:line="240" w:lineRule="auto"/>
        <w:ind w:right="20"/>
        <w:jc w:val="both"/>
        <w:rPr>
          <w:rFonts w:ascii="Times New Roman" w:hAnsi="Times New Roman"/>
          <w:sz w:val="24"/>
          <w:szCs w:val="24"/>
        </w:rPr>
      </w:pPr>
      <w:r w:rsidRPr="004A16FA">
        <w:rPr>
          <w:rFonts w:ascii="Times New Roman" w:hAnsi="Times New Roman"/>
          <w:sz w:val="24"/>
          <w:szCs w:val="24"/>
        </w:rPr>
        <w:t>Analiza financijskih izvještaja podrazumijeva ocjenu dvaju kriterija, sigurnosti i uspješnosti. U tom kontekstu za ocjenu tih kriterija koriste se pokazatelji likvidnosti, zaduženosti, aktivnosti i ekonomičnosti. U nastavku su obrađeni navedeni pokazatelji za 2015. godinu.</w:t>
      </w:r>
    </w:p>
    <w:p w:rsidR="004A16FA" w:rsidRDefault="004A16FA" w:rsidP="004A16FA">
      <w:pPr>
        <w:spacing w:line="240" w:lineRule="auto"/>
        <w:jc w:val="both"/>
        <w:rPr>
          <w:rFonts w:ascii="Times New Roman" w:hAnsi="Times New Roman"/>
          <w:sz w:val="24"/>
          <w:szCs w:val="24"/>
        </w:rPr>
      </w:pPr>
    </w:p>
    <w:p w:rsidR="005558F5" w:rsidRPr="007A0CDB" w:rsidRDefault="005558F5" w:rsidP="005558F5">
      <w:pPr>
        <w:widowControl w:val="0"/>
        <w:autoSpaceDE w:val="0"/>
        <w:autoSpaceDN w:val="0"/>
        <w:adjustRightInd w:val="0"/>
        <w:spacing w:after="0" w:line="240" w:lineRule="auto"/>
        <w:ind w:left="40"/>
        <w:rPr>
          <w:rFonts w:ascii="Times New Roman" w:hAnsi="Times New Roman"/>
          <w:b/>
          <w:i/>
          <w:sz w:val="24"/>
          <w:szCs w:val="24"/>
        </w:rPr>
      </w:pPr>
      <w:r w:rsidRPr="007A0CDB">
        <w:rPr>
          <w:rFonts w:cs="Calibri"/>
          <w:b/>
          <w:i/>
          <w:sz w:val="32"/>
          <w:szCs w:val="32"/>
        </w:rPr>
        <w:t>Pokazatelji likvidnosti</w:t>
      </w:r>
    </w:p>
    <w:p w:rsidR="005558F5" w:rsidRDefault="005558F5" w:rsidP="005558F5">
      <w:pPr>
        <w:widowControl w:val="0"/>
        <w:autoSpaceDE w:val="0"/>
        <w:autoSpaceDN w:val="0"/>
        <w:adjustRightInd w:val="0"/>
        <w:spacing w:after="0" w:line="377" w:lineRule="exact"/>
        <w:rPr>
          <w:rFonts w:ascii="Times New Roman" w:hAnsi="Times New Roman"/>
          <w:sz w:val="24"/>
          <w:szCs w:val="24"/>
        </w:rPr>
      </w:pPr>
    </w:p>
    <w:p w:rsidR="005558F5" w:rsidRDefault="005558F5" w:rsidP="005558F5">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12. Pokazatelji likvidnosti Društva u razdoblju 2014.-2015. godine</w:t>
      </w:r>
    </w:p>
    <w:p w:rsidR="005558F5" w:rsidRDefault="005558F5" w:rsidP="005558F5">
      <w:pPr>
        <w:widowControl w:val="0"/>
        <w:autoSpaceDE w:val="0"/>
        <w:autoSpaceDN w:val="0"/>
        <w:adjustRightInd w:val="0"/>
        <w:spacing w:after="0" w:line="1"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680"/>
        <w:gridCol w:w="120"/>
        <w:gridCol w:w="80"/>
        <w:gridCol w:w="4560"/>
        <w:gridCol w:w="140"/>
        <w:gridCol w:w="80"/>
        <w:gridCol w:w="960"/>
        <w:gridCol w:w="120"/>
        <w:gridCol w:w="80"/>
        <w:gridCol w:w="998"/>
        <w:gridCol w:w="62"/>
        <w:gridCol w:w="30"/>
      </w:tblGrid>
      <w:tr w:rsidR="005558F5" w:rsidRPr="00481167" w:rsidTr="005558F5">
        <w:trPr>
          <w:trHeight w:val="111"/>
        </w:trPr>
        <w:tc>
          <w:tcPr>
            <w:tcW w:w="120" w:type="dxa"/>
            <w:tcBorders>
              <w:top w:val="single" w:sz="8" w:space="0" w:color="auto"/>
              <w:left w:val="single" w:sz="8" w:space="0" w:color="auto"/>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68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456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67" w:lineRule="exact"/>
              <w:ind w:left="1820"/>
              <w:rPr>
                <w:rFonts w:ascii="Times New Roman" w:hAnsi="Times New Roman"/>
                <w:sz w:val="24"/>
                <w:szCs w:val="24"/>
              </w:rPr>
            </w:pPr>
            <w:r w:rsidRPr="00481167">
              <w:rPr>
                <w:rFonts w:cs="Calibri"/>
                <w:b/>
                <w:bCs/>
                <w:color w:val="FFFFFF"/>
              </w:rPr>
              <w:t>Pokazatelj</w:t>
            </w:r>
          </w:p>
        </w:tc>
        <w:tc>
          <w:tcPr>
            <w:tcW w:w="14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96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2014</w:t>
            </w:r>
            <w:r w:rsidRPr="00481167">
              <w:rPr>
                <w:rFonts w:cs="Calibri"/>
                <w:b/>
                <w:bCs/>
                <w:color w:val="FFFFFF"/>
                <w:w w:val="98"/>
              </w:rPr>
              <w:t>.</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998"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2015</w:t>
            </w:r>
            <w:r w:rsidRPr="00481167">
              <w:rPr>
                <w:rFonts w:cs="Calibri"/>
                <w:b/>
                <w:bCs/>
                <w:color w:val="FFFFFF"/>
                <w:w w:val="98"/>
              </w:rPr>
              <w:t>.</w:t>
            </w:r>
          </w:p>
        </w:tc>
        <w:tc>
          <w:tcPr>
            <w:tcW w:w="62"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265"/>
        </w:trPr>
        <w:tc>
          <w:tcPr>
            <w:tcW w:w="120" w:type="dxa"/>
            <w:tcBorders>
              <w:top w:val="nil"/>
              <w:left w:val="single" w:sz="8" w:space="0" w:color="auto"/>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68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456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96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998"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62"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15"/>
        </w:trPr>
        <w:tc>
          <w:tcPr>
            <w:tcW w:w="120" w:type="dxa"/>
            <w:tcBorders>
              <w:top w:val="nil"/>
              <w:left w:val="single" w:sz="8" w:space="0" w:color="auto"/>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6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456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96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998"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62"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254"/>
        </w:trPr>
        <w:tc>
          <w:tcPr>
            <w:tcW w:w="120" w:type="dxa"/>
            <w:tcBorders>
              <w:top w:val="nil"/>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6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456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50" w:lineRule="exact"/>
              <w:ind w:left="2240"/>
              <w:rPr>
                <w:rFonts w:ascii="Times New Roman" w:hAnsi="Times New Roman"/>
                <w:sz w:val="24"/>
                <w:szCs w:val="24"/>
              </w:rPr>
            </w:pPr>
            <w:r w:rsidRPr="00481167">
              <w:rPr>
                <w:rFonts w:cs="Calibri"/>
              </w:rPr>
              <w:t>1</w:t>
            </w:r>
          </w:p>
        </w:tc>
        <w:tc>
          <w:tcPr>
            <w:tcW w:w="14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96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50" w:lineRule="exact"/>
              <w:jc w:val="center"/>
              <w:rPr>
                <w:rFonts w:ascii="Times New Roman" w:hAnsi="Times New Roman"/>
                <w:sz w:val="24"/>
                <w:szCs w:val="24"/>
              </w:rPr>
            </w:pPr>
            <w:r w:rsidRPr="00481167">
              <w:rPr>
                <w:rFonts w:cs="Calibri"/>
              </w:rPr>
              <w:t>2</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998"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50" w:lineRule="exact"/>
              <w:jc w:val="center"/>
              <w:rPr>
                <w:rFonts w:ascii="Times New Roman" w:hAnsi="Times New Roman"/>
                <w:sz w:val="24"/>
                <w:szCs w:val="24"/>
              </w:rPr>
            </w:pPr>
            <w:r w:rsidRPr="00481167">
              <w:rPr>
                <w:rFonts w:cs="Calibri"/>
                <w:w w:val="89"/>
              </w:rPr>
              <w:t>3</w:t>
            </w:r>
          </w:p>
        </w:tc>
        <w:tc>
          <w:tcPr>
            <w:tcW w:w="62"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288"/>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1.</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 trenutne likvidnosti</w:t>
            </w:r>
          </w:p>
        </w:tc>
        <w:tc>
          <w:tcPr>
            <w:tcW w:w="1040" w:type="dxa"/>
            <w:gridSpan w:val="2"/>
            <w:vMerge w:val="restart"/>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67" w:lineRule="exact"/>
              <w:jc w:val="center"/>
              <w:rPr>
                <w:rFonts w:asciiTheme="minorHAnsi" w:hAnsiTheme="minorHAnsi"/>
                <w:sz w:val="24"/>
                <w:szCs w:val="24"/>
              </w:rPr>
            </w:pPr>
            <w:r w:rsidRPr="005558F5">
              <w:rPr>
                <w:rFonts w:asciiTheme="minorHAnsi" w:hAnsiTheme="minorHAnsi" w:cs="Calibri"/>
              </w:rPr>
              <w:t>0</w:t>
            </w:r>
            <w:r w:rsidRPr="005558F5">
              <w:rPr>
                <w:rFonts w:asciiTheme="minorHAnsi" w:hAnsiTheme="minorHAnsi" w:cs="Calibri"/>
                <w:w w:val="97"/>
              </w:rPr>
              <w:t>,15</w:t>
            </w: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24"/>
                <w:szCs w:val="24"/>
              </w:rPr>
            </w:pPr>
          </w:p>
        </w:tc>
        <w:tc>
          <w:tcPr>
            <w:tcW w:w="1078" w:type="dxa"/>
            <w:gridSpan w:val="2"/>
            <w:vMerge w:val="restart"/>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67" w:lineRule="exact"/>
              <w:jc w:val="center"/>
              <w:rPr>
                <w:rFonts w:asciiTheme="minorHAnsi" w:hAnsiTheme="minorHAnsi"/>
              </w:rPr>
            </w:pPr>
            <w:r w:rsidRPr="005558F5">
              <w:rPr>
                <w:rFonts w:asciiTheme="minorHAnsi" w:hAnsiTheme="minorHAnsi"/>
              </w:rPr>
              <w:t>0,62</w:t>
            </w: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4"/>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novac/kratkoročne obveze</w:t>
            </w:r>
          </w:p>
        </w:tc>
        <w:tc>
          <w:tcPr>
            <w:tcW w:w="1040" w:type="dxa"/>
            <w:gridSpan w:val="2"/>
            <w:vMerge/>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078" w:type="dxa"/>
            <w:gridSpan w:val="2"/>
            <w:vMerge/>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4"/>
        </w:trPr>
        <w:tc>
          <w:tcPr>
            <w:tcW w:w="120" w:type="dxa"/>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6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96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8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998"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40"/>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4700" w:type="dxa"/>
            <w:gridSpan w:val="2"/>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96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120" w:type="dxa"/>
            <w:tcBorders>
              <w:top w:val="nil"/>
              <w:left w:val="nil"/>
              <w:bottom w:val="single" w:sz="8" w:space="0" w:color="auto"/>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8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998"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62"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281"/>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2.</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Koef.ubrzane likvidnosti</w:t>
            </w:r>
          </w:p>
        </w:tc>
        <w:tc>
          <w:tcPr>
            <w:tcW w:w="1040" w:type="dxa"/>
            <w:gridSpan w:val="2"/>
            <w:vMerge w:val="restart"/>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67" w:lineRule="exact"/>
              <w:jc w:val="center"/>
              <w:rPr>
                <w:rFonts w:asciiTheme="minorHAnsi" w:hAnsiTheme="minorHAnsi"/>
                <w:sz w:val="24"/>
                <w:szCs w:val="24"/>
              </w:rPr>
            </w:pPr>
            <w:r w:rsidRPr="005558F5">
              <w:rPr>
                <w:rFonts w:asciiTheme="minorHAnsi" w:hAnsiTheme="minorHAnsi" w:cs="Calibri"/>
                <w:w w:val="97"/>
              </w:rPr>
              <w:t>1,04</w:t>
            </w: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24"/>
                <w:szCs w:val="24"/>
              </w:rPr>
            </w:pPr>
          </w:p>
        </w:tc>
        <w:tc>
          <w:tcPr>
            <w:tcW w:w="1078" w:type="dxa"/>
            <w:gridSpan w:val="2"/>
            <w:vMerge w:val="restart"/>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67" w:lineRule="exact"/>
              <w:jc w:val="center"/>
              <w:rPr>
                <w:rFonts w:asciiTheme="minorHAnsi" w:hAnsiTheme="minorHAnsi"/>
              </w:rPr>
            </w:pPr>
            <w:r w:rsidRPr="005558F5">
              <w:rPr>
                <w:rFonts w:asciiTheme="minorHAnsi" w:hAnsiTheme="minorHAnsi"/>
              </w:rPr>
              <w:t>1,31</w:t>
            </w: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4"/>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novac+potraživanja/kratkoročne obveze</w:t>
            </w:r>
          </w:p>
        </w:tc>
        <w:tc>
          <w:tcPr>
            <w:tcW w:w="1040" w:type="dxa"/>
            <w:gridSpan w:val="2"/>
            <w:vMerge/>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078" w:type="dxa"/>
            <w:gridSpan w:val="2"/>
            <w:vMerge/>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4"/>
        </w:trPr>
        <w:tc>
          <w:tcPr>
            <w:tcW w:w="120" w:type="dxa"/>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6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96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8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998"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40"/>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4700" w:type="dxa"/>
            <w:gridSpan w:val="2"/>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96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120" w:type="dxa"/>
            <w:tcBorders>
              <w:top w:val="nil"/>
              <w:left w:val="nil"/>
              <w:bottom w:val="single" w:sz="8" w:space="0" w:color="auto"/>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8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998"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62"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281"/>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3.</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Pr>
                <w:rFonts w:cs="Calibri"/>
                <w:b/>
                <w:bCs/>
              </w:rPr>
              <w:t>Koef. opć</w:t>
            </w:r>
            <w:r w:rsidRPr="00481167">
              <w:rPr>
                <w:rFonts w:cs="Calibri"/>
                <w:b/>
                <w:bCs/>
              </w:rPr>
              <w:t>e likvidnosti</w:t>
            </w:r>
          </w:p>
        </w:tc>
        <w:tc>
          <w:tcPr>
            <w:tcW w:w="1040" w:type="dxa"/>
            <w:gridSpan w:val="2"/>
            <w:vMerge w:val="restart"/>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67" w:lineRule="exact"/>
              <w:jc w:val="center"/>
              <w:rPr>
                <w:rFonts w:asciiTheme="minorHAnsi" w:hAnsiTheme="minorHAnsi"/>
                <w:sz w:val="24"/>
                <w:szCs w:val="24"/>
              </w:rPr>
            </w:pPr>
            <w:r w:rsidRPr="005558F5">
              <w:rPr>
                <w:rFonts w:asciiTheme="minorHAnsi" w:hAnsiTheme="minorHAnsi" w:cs="Calibri"/>
                <w:w w:val="97"/>
              </w:rPr>
              <w:t>1,41</w:t>
            </w: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24"/>
                <w:szCs w:val="24"/>
              </w:rPr>
            </w:pPr>
          </w:p>
        </w:tc>
        <w:tc>
          <w:tcPr>
            <w:tcW w:w="1078" w:type="dxa"/>
            <w:gridSpan w:val="2"/>
            <w:vMerge w:val="restart"/>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67" w:lineRule="exact"/>
              <w:jc w:val="center"/>
              <w:rPr>
                <w:rFonts w:asciiTheme="minorHAnsi" w:hAnsiTheme="minorHAnsi"/>
              </w:rPr>
            </w:pPr>
            <w:r w:rsidRPr="005558F5">
              <w:rPr>
                <w:rFonts w:asciiTheme="minorHAnsi" w:hAnsiTheme="minorHAnsi"/>
              </w:rPr>
              <w:t>1,56</w:t>
            </w: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4"/>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kratkotrajna imovina/ kratkoročne obveze</w:t>
            </w:r>
          </w:p>
        </w:tc>
        <w:tc>
          <w:tcPr>
            <w:tcW w:w="1040" w:type="dxa"/>
            <w:gridSpan w:val="2"/>
            <w:vMerge/>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078" w:type="dxa"/>
            <w:gridSpan w:val="2"/>
            <w:vMerge/>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5"/>
        </w:trPr>
        <w:tc>
          <w:tcPr>
            <w:tcW w:w="120" w:type="dxa"/>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6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96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8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998"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40"/>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4700" w:type="dxa"/>
            <w:gridSpan w:val="2"/>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96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120" w:type="dxa"/>
            <w:tcBorders>
              <w:top w:val="nil"/>
              <w:left w:val="nil"/>
              <w:bottom w:val="single" w:sz="8" w:space="0" w:color="auto"/>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8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998"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62"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281"/>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4.</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Koef.financijske stabilnosti</w:t>
            </w:r>
          </w:p>
        </w:tc>
        <w:tc>
          <w:tcPr>
            <w:tcW w:w="1040" w:type="dxa"/>
            <w:gridSpan w:val="2"/>
            <w:vMerge w:val="restart"/>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67" w:lineRule="exact"/>
              <w:jc w:val="center"/>
              <w:rPr>
                <w:rFonts w:asciiTheme="minorHAnsi" w:hAnsiTheme="minorHAnsi"/>
                <w:sz w:val="24"/>
                <w:szCs w:val="24"/>
              </w:rPr>
            </w:pPr>
            <w:r w:rsidRPr="005558F5">
              <w:rPr>
                <w:rFonts w:asciiTheme="minorHAnsi" w:hAnsiTheme="minorHAnsi" w:cs="Calibri"/>
                <w:w w:val="97"/>
              </w:rPr>
              <w:t>0,65</w:t>
            </w: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24"/>
                <w:szCs w:val="24"/>
              </w:rPr>
            </w:pPr>
          </w:p>
        </w:tc>
        <w:tc>
          <w:tcPr>
            <w:tcW w:w="1078" w:type="dxa"/>
            <w:gridSpan w:val="2"/>
            <w:vMerge w:val="restart"/>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67" w:lineRule="exact"/>
              <w:jc w:val="center"/>
              <w:rPr>
                <w:rFonts w:asciiTheme="minorHAnsi" w:hAnsiTheme="minorHAnsi"/>
              </w:rPr>
            </w:pPr>
            <w:r w:rsidRPr="005558F5">
              <w:rPr>
                <w:rFonts w:asciiTheme="minorHAnsi" w:hAnsiTheme="minorHAnsi"/>
              </w:rPr>
              <w:t>0,70</w:t>
            </w: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4"/>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dugotrajna imovina/ kapital+dugoročne obveze</w:t>
            </w:r>
          </w:p>
        </w:tc>
        <w:tc>
          <w:tcPr>
            <w:tcW w:w="1040" w:type="dxa"/>
            <w:gridSpan w:val="2"/>
            <w:vMerge/>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078" w:type="dxa"/>
            <w:gridSpan w:val="2"/>
            <w:vMerge/>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4"/>
        </w:trPr>
        <w:tc>
          <w:tcPr>
            <w:tcW w:w="120" w:type="dxa"/>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6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96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80"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998" w:type="dxa"/>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11"/>
                <w:szCs w:val="11"/>
              </w:rPr>
            </w:pP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40"/>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4700" w:type="dxa"/>
            <w:gridSpan w:val="2"/>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8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96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120" w:type="dxa"/>
            <w:tcBorders>
              <w:top w:val="nil"/>
              <w:left w:val="nil"/>
              <w:bottom w:val="single" w:sz="8" w:space="0" w:color="auto"/>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80"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998" w:type="dxa"/>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3"/>
                <w:szCs w:val="3"/>
              </w:rPr>
            </w:pPr>
          </w:p>
        </w:tc>
        <w:tc>
          <w:tcPr>
            <w:tcW w:w="62"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250"/>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5.</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1"/>
                <w:szCs w:val="2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1"/>
                <w:szCs w:val="21"/>
              </w:rPr>
            </w:pPr>
          </w:p>
        </w:tc>
        <w:tc>
          <w:tcPr>
            <w:tcW w:w="470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50" w:lineRule="exact"/>
              <w:rPr>
                <w:rFonts w:ascii="Times New Roman" w:hAnsi="Times New Roman"/>
                <w:sz w:val="24"/>
                <w:szCs w:val="24"/>
              </w:rPr>
            </w:pPr>
            <w:r w:rsidRPr="00481167">
              <w:rPr>
                <w:rFonts w:cs="Calibri"/>
                <w:b/>
                <w:bCs/>
              </w:rPr>
              <w:t>Neto radni kapital</w:t>
            </w:r>
          </w:p>
        </w:tc>
        <w:tc>
          <w:tcPr>
            <w:tcW w:w="1040" w:type="dxa"/>
            <w:gridSpan w:val="2"/>
            <w:vMerge w:val="restart"/>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67" w:lineRule="exact"/>
              <w:jc w:val="center"/>
              <w:rPr>
                <w:rFonts w:asciiTheme="minorHAnsi" w:hAnsiTheme="minorHAnsi"/>
                <w:sz w:val="24"/>
                <w:szCs w:val="24"/>
              </w:rPr>
            </w:pPr>
            <w:r w:rsidRPr="005558F5">
              <w:rPr>
                <w:rFonts w:asciiTheme="minorHAnsi" w:hAnsiTheme="minorHAnsi" w:cs="Calibri"/>
              </w:rPr>
              <w:t>6.404.311</w:t>
            </w:r>
          </w:p>
        </w:tc>
        <w:tc>
          <w:tcPr>
            <w:tcW w:w="120" w:type="dxa"/>
            <w:tcBorders>
              <w:top w:val="nil"/>
              <w:left w:val="nil"/>
              <w:bottom w:val="nil"/>
              <w:right w:val="single" w:sz="8" w:space="0" w:color="auto"/>
            </w:tcBorders>
            <w:vAlign w:val="bottom"/>
          </w:tcPr>
          <w:p w:rsidR="005558F5" w:rsidRPr="005558F5" w:rsidRDefault="005558F5" w:rsidP="00933A35">
            <w:pPr>
              <w:widowControl w:val="0"/>
              <w:autoSpaceDE w:val="0"/>
              <w:autoSpaceDN w:val="0"/>
              <w:adjustRightInd w:val="0"/>
              <w:spacing w:after="0" w:line="240" w:lineRule="auto"/>
              <w:rPr>
                <w:rFonts w:asciiTheme="minorHAnsi" w:hAnsiTheme="minorHAnsi"/>
                <w:sz w:val="21"/>
                <w:szCs w:val="21"/>
              </w:rPr>
            </w:pPr>
          </w:p>
        </w:tc>
        <w:tc>
          <w:tcPr>
            <w:tcW w:w="1078" w:type="dxa"/>
            <w:gridSpan w:val="2"/>
            <w:vMerge w:val="restart"/>
            <w:tcBorders>
              <w:top w:val="nil"/>
              <w:left w:val="nil"/>
              <w:bottom w:val="nil"/>
              <w:right w:val="nil"/>
            </w:tcBorders>
            <w:vAlign w:val="bottom"/>
          </w:tcPr>
          <w:p w:rsidR="005558F5" w:rsidRPr="005558F5" w:rsidRDefault="005558F5" w:rsidP="00933A35">
            <w:pPr>
              <w:widowControl w:val="0"/>
              <w:autoSpaceDE w:val="0"/>
              <w:autoSpaceDN w:val="0"/>
              <w:adjustRightInd w:val="0"/>
              <w:spacing w:after="0" w:line="267" w:lineRule="exact"/>
              <w:jc w:val="center"/>
              <w:rPr>
                <w:rFonts w:asciiTheme="minorHAnsi" w:hAnsiTheme="minorHAnsi"/>
              </w:rPr>
            </w:pPr>
            <w:r w:rsidRPr="005558F5">
              <w:rPr>
                <w:rFonts w:asciiTheme="minorHAnsi" w:hAnsiTheme="minorHAnsi"/>
              </w:rPr>
              <w:t>5.588.903</w:t>
            </w: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4"/>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470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kratkotrajna imovina - kratkoročne obveze</w:t>
            </w:r>
          </w:p>
        </w:tc>
        <w:tc>
          <w:tcPr>
            <w:tcW w:w="104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1078"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62"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5558F5">
        <w:trPr>
          <w:trHeight w:val="139"/>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4700" w:type="dxa"/>
            <w:gridSpan w:val="2"/>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96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998"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62"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bl>
    <w:p w:rsidR="005558F5" w:rsidRDefault="005558F5" w:rsidP="005558F5">
      <w:pPr>
        <w:widowControl w:val="0"/>
        <w:autoSpaceDE w:val="0"/>
        <w:autoSpaceDN w:val="0"/>
        <w:adjustRightInd w:val="0"/>
        <w:spacing w:after="0" w:line="310" w:lineRule="exact"/>
        <w:rPr>
          <w:rFonts w:ascii="Times New Roman" w:hAnsi="Times New Roman"/>
          <w:sz w:val="24"/>
          <w:szCs w:val="24"/>
        </w:rPr>
      </w:pPr>
    </w:p>
    <w:p w:rsidR="005558F5" w:rsidRPr="005558F5" w:rsidRDefault="005558F5" w:rsidP="005558F5">
      <w:pPr>
        <w:widowControl w:val="0"/>
        <w:overflowPunct w:val="0"/>
        <w:autoSpaceDE w:val="0"/>
        <w:autoSpaceDN w:val="0"/>
        <w:adjustRightInd w:val="0"/>
        <w:spacing w:after="0" w:line="240" w:lineRule="auto"/>
        <w:ind w:left="40"/>
        <w:jc w:val="both"/>
        <w:rPr>
          <w:rFonts w:ascii="Times New Roman" w:hAnsi="Times New Roman"/>
          <w:sz w:val="24"/>
          <w:szCs w:val="24"/>
        </w:rPr>
      </w:pPr>
      <w:r w:rsidRPr="005558F5">
        <w:rPr>
          <w:rFonts w:ascii="Times New Roman" w:hAnsi="Times New Roman"/>
          <w:sz w:val="24"/>
          <w:szCs w:val="24"/>
        </w:rPr>
        <w:t>Izračunati koef. trenutne likvidnosti pokazuje nisku pokrivenost kratkoročnih obveza novčanim sredstvima s obzirom da udio novca u aktivi društva iznosi 21%. Koef. opće likvidnosti trebao bi biti iznad 2 što upućuje na nezadovoljenje vrijednosti. Navedeni pokazatelji likvidnosti su stabilni što se može ocjeniti pozitivnim.</w:t>
      </w:r>
    </w:p>
    <w:p w:rsidR="005558F5" w:rsidRDefault="005558F5" w:rsidP="005558F5">
      <w:pPr>
        <w:widowControl w:val="0"/>
        <w:autoSpaceDE w:val="0"/>
        <w:autoSpaceDN w:val="0"/>
        <w:adjustRightInd w:val="0"/>
        <w:spacing w:after="0" w:line="270" w:lineRule="exact"/>
        <w:rPr>
          <w:rFonts w:ascii="Times New Roman" w:hAnsi="Times New Roman"/>
          <w:sz w:val="24"/>
          <w:szCs w:val="24"/>
        </w:rPr>
      </w:pPr>
    </w:p>
    <w:p w:rsidR="007A0CDB" w:rsidRDefault="007A0CDB" w:rsidP="005558F5">
      <w:pPr>
        <w:widowControl w:val="0"/>
        <w:autoSpaceDE w:val="0"/>
        <w:autoSpaceDN w:val="0"/>
        <w:adjustRightInd w:val="0"/>
        <w:spacing w:after="0" w:line="240" w:lineRule="auto"/>
        <w:ind w:left="40"/>
        <w:rPr>
          <w:rFonts w:cs="Calibri"/>
          <w:b/>
          <w:i/>
          <w:sz w:val="32"/>
          <w:szCs w:val="32"/>
        </w:rPr>
      </w:pPr>
    </w:p>
    <w:p w:rsidR="005558F5" w:rsidRPr="007A0CDB" w:rsidRDefault="005558F5" w:rsidP="005558F5">
      <w:pPr>
        <w:widowControl w:val="0"/>
        <w:autoSpaceDE w:val="0"/>
        <w:autoSpaceDN w:val="0"/>
        <w:adjustRightInd w:val="0"/>
        <w:spacing w:after="0" w:line="240" w:lineRule="auto"/>
        <w:ind w:left="40"/>
        <w:rPr>
          <w:rFonts w:ascii="Times New Roman" w:hAnsi="Times New Roman"/>
          <w:b/>
          <w:i/>
          <w:sz w:val="24"/>
          <w:szCs w:val="24"/>
        </w:rPr>
      </w:pPr>
      <w:r w:rsidRPr="007A0CDB">
        <w:rPr>
          <w:rFonts w:cs="Calibri"/>
          <w:b/>
          <w:i/>
          <w:sz w:val="32"/>
          <w:szCs w:val="32"/>
        </w:rPr>
        <w:t>Pokazatelji ekonomičnosti</w:t>
      </w:r>
    </w:p>
    <w:p w:rsidR="005558F5" w:rsidRDefault="005558F5" w:rsidP="005558F5">
      <w:pPr>
        <w:widowControl w:val="0"/>
        <w:autoSpaceDE w:val="0"/>
        <w:autoSpaceDN w:val="0"/>
        <w:adjustRightInd w:val="0"/>
        <w:spacing w:after="0" w:line="327" w:lineRule="exact"/>
        <w:rPr>
          <w:rFonts w:ascii="Times New Roman" w:hAnsi="Times New Roman"/>
          <w:sz w:val="24"/>
          <w:szCs w:val="24"/>
        </w:rPr>
      </w:pPr>
    </w:p>
    <w:p w:rsidR="005558F5" w:rsidRDefault="005558F5" w:rsidP="005558F5">
      <w:pPr>
        <w:widowControl w:val="0"/>
        <w:autoSpaceDE w:val="0"/>
        <w:autoSpaceDN w:val="0"/>
        <w:adjustRightInd w:val="0"/>
        <w:spacing w:after="0" w:line="240" w:lineRule="auto"/>
        <w:ind w:left="40"/>
        <w:rPr>
          <w:rFonts w:ascii="Times New Roman" w:hAnsi="Times New Roman"/>
          <w:sz w:val="24"/>
          <w:szCs w:val="24"/>
        </w:rPr>
      </w:pPr>
      <w:r>
        <w:rPr>
          <w:rFonts w:cs="Calibri"/>
          <w:b/>
          <w:bCs/>
        </w:rPr>
        <w:t>Tablica 13. Pokazatelji ekonomičnosti Društva u razdoblju 2014.-2015. godine</w:t>
      </w:r>
    </w:p>
    <w:tbl>
      <w:tblPr>
        <w:tblW w:w="0" w:type="auto"/>
        <w:tblInd w:w="10" w:type="dxa"/>
        <w:tblLayout w:type="fixed"/>
        <w:tblCellMar>
          <w:left w:w="0" w:type="dxa"/>
          <w:right w:w="0" w:type="dxa"/>
        </w:tblCellMar>
        <w:tblLook w:val="0000" w:firstRow="0" w:lastRow="0" w:firstColumn="0" w:lastColumn="0" w:noHBand="0" w:noVBand="0"/>
      </w:tblPr>
      <w:tblGrid>
        <w:gridCol w:w="120"/>
        <w:gridCol w:w="680"/>
        <w:gridCol w:w="120"/>
        <w:gridCol w:w="80"/>
        <w:gridCol w:w="4560"/>
        <w:gridCol w:w="140"/>
        <w:gridCol w:w="80"/>
        <w:gridCol w:w="960"/>
        <w:gridCol w:w="120"/>
        <w:gridCol w:w="80"/>
        <w:gridCol w:w="940"/>
        <w:gridCol w:w="120"/>
        <w:gridCol w:w="30"/>
      </w:tblGrid>
      <w:tr w:rsidR="005558F5" w:rsidRPr="00481167" w:rsidTr="00933A35">
        <w:trPr>
          <w:trHeight w:val="106"/>
        </w:trPr>
        <w:tc>
          <w:tcPr>
            <w:tcW w:w="120" w:type="dxa"/>
            <w:tcBorders>
              <w:top w:val="single" w:sz="8" w:space="0" w:color="auto"/>
              <w:left w:val="single" w:sz="8" w:space="0" w:color="auto"/>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68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456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w w:val="99"/>
              </w:rPr>
              <w:t>Pokazatelj</w:t>
            </w:r>
          </w:p>
        </w:tc>
        <w:tc>
          <w:tcPr>
            <w:tcW w:w="14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96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jc w:val="center"/>
              <w:rPr>
                <w:rFonts w:ascii="Times New Roman" w:hAnsi="Times New Roman"/>
                <w:sz w:val="24"/>
                <w:szCs w:val="24"/>
              </w:rPr>
            </w:pPr>
            <w:r>
              <w:rPr>
                <w:rFonts w:cs="Calibri"/>
                <w:b/>
                <w:bCs/>
                <w:color w:val="FFFFFF"/>
                <w:w w:val="98"/>
              </w:rPr>
              <w:t>2014</w:t>
            </w:r>
            <w:r w:rsidRPr="00481167">
              <w:rPr>
                <w:rFonts w:cs="Calibri"/>
                <w:b/>
                <w:bCs/>
                <w:color w:val="FFFFFF"/>
                <w:w w:val="98"/>
              </w:rPr>
              <w:t>.</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94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b/>
                <w:bCs/>
                <w:color w:val="FFFFFF"/>
                <w:w w:val="98"/>
              </w:rPr>
              <w:t>2</w:t>
            </w:r>
            <w:r>
              <w:rPr>
                <w:rFonts w:cs="Calibri"/>
                <w:b/>
                <w:bCs/>
                <w:color w:val="FFFFFF"/>
                <w:w w:val="98"/>
              </w:rPr>
              <w:t>015</w:t>
            </w:r>
            <w:r w:rsidRPr="00481167">
              <w:rPr>
                <w:rFonts w:cs="Calibri"/>
                <w:b/>
                <w:bCs/>
                <w:color w:val="FFFFFF"/>
                <w:w w:val="98"/>
              </w:rPr>
              <w:t>.</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65"/>
        </w:trPr>
        <w:tc>
          <w:tcPr>
            <w:tcW w:w="120" w:type="dxa"/>
            <w:tcBorders>
              <w:top w:val="nil"/>
              <w:left w:val="single" w:sz="8" w:space="0" w:color="auto"/>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68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456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96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94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12"/>
        </w:trPr>
        <w:tc>
          <w:tcPr>
            <w:tcW w:w="120" w:type="dxa"/>
            <w:tcBorders>
              <w:top w:val="nil"/>
              <w:left w:val="single" w:sz="8" w:space="0" w:color="auto"/>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6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456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4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96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94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54"/>
        </w:trPr>
        <w:tc>
          <w:tcPr>
            <w:tcW w:w="120" w:type="dxa"/>
            <w:tcBorders>
              <w:top w:val="nil"/>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6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456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50" w:lineRule="exact"/>
              <w:ind w:right="2110"/>
              <w:jc w:val="right"/>
              <w:rPr>
                <w:rFonts w:ascii="Times New Roman" w:hAnsi="Times New Roman"/>
                <w:sz w:val="24"/>
                <w:szCs w:val="24"/>
              </w:rPr>
            </w:pPr>
            <w:r w:rsidRPr="00481167">
              <w:rPr>
                <w:rFonts w:cs="Calibri"/>
              </w:rPr>
              <w:t>1</w:t>
            </w:r>
          </w:p>
        </w:tc>
        <w:tc>
          <w:tcPr>
            <w:tcW w:w="14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96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50" w:lineRule="exact"/>
              <w:jc w:val="center"/>
              <w:rPr>
                <w:rFonts w:ascii="Times New Roman" w:hAnsi="Times New Roman"/>
                <w:sz w:val="24"/>
                <w:szCs w:val="24"/>
              </w:rPr>
            </w:pPr>
            <w:r w:rsidRPr="00481167">
              <w:rPr>
                <w:rFonts w:cs="Calibri"/>
              </w:rPr>
              <w:t>2</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94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50" w:lineRule="exact"/>
              <w:jc w:val="center"/>
              <w:rPr>
                <w:rFonts w:ascii="Times New Roman" w:hAnsi="Times New Roman"/>
                <w:sz w:val="24"/>
                <w:szCs w:val="24"/>
              </w:rPr>
            </w:pPr>
            <w:r w:rsidRPr="00481167">
              <w:rPr>
                <w:rFonts w:cs="Calibri"/>
                <w:w w:val="89"/>
              </w:rPr>
              <w:t>3</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90"/>
        </w:trPr>
        <w:tc>
          <w:tcPr>
            <w:tcW w:w="800" w:type="dxa"/>
            <w:gridSpan w:val="2"/>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w w:val="95"/>
              </w:rPr>
              <w:t>1.</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Ekonomičnost ukupnog poslovanja</w:t>
            </w:r>
          </w:p>
        </w:tc>
        <w:tc>
          <w:tcPr>
            <w:tcW w:w="1040" w:type="dxa"/>
            <w:gridSpan w:val="2"/>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1,0</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ind w:right="250"/>
              <w:jc w:val="right"/>
              <w:rPr>
                <w:rFonts w:ascii="Times New Roman" w:hAnsi="Times New Roman"/>
              </w:rPr>
            </w:pPr>
            <w:r w:rsidRPr="005558F5">
              <w:rPr>
                <w:rFonts w:ascii="Times New Roman" w:hAnsi="Times New Roman"/>
              </w:rPr>
              <w:t>1,01</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90"/>
        </w:trPr>
        <w:tc>
          <w:tcPr>
            <w:tcW w:w="800" w:type="dxa"/>
            <w:gridSpan w:val="2"/>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w w:val="95"/>
              </w:rPr>
              <w:t>2.</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Ekonomičnost poslovnih aktivnosti</w:t>
            </w:r>
          </w:p>
        </w:tc>
        <w:tc>
          <w:tcPr>
            <w:tcW w:w="1040" w:type="dxa"/>
            <w:gridSpan w:val="2"/>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rPr>
              <w:t>1,01</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ind w:right="190"/>
              <w:jc w:val="center"/>
              <w:rPr>
                <w:rFonts w:ascii="Times New Roman" w:hAnsi="Times New Roman"/>
              </w:rPr>
            </w:pPr>
            <w:r w:rsidRPr="005558F5">
              <w:rPr>
                <w:rFonts w:ascii="Times New Roman" w:hAnsi="Times New Roman"/>
              </w:rPr>
              <w:t xml:space="preserve">     1,02</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06"/>
        </w:trPr>
        <w:tc>
          <w:tcPr>
            <w:tcW w:w="800" w:type="dxa"/>
            <w:gridSpan w:val="2"/>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ind w:left="10"/>
              <w:jc w:val="center"/>
              <w:rPr>
                <w:rFonts w:ascii="Times New Roman" w:hAnsi="Times New Roman"/>
                <w:sz w:val="24"/>
                <w:szCs w:val="24"/>
              </w:rPr>
            </w:pPr>
            <w:r w:rsidRPr="00481167">
              <w:rPr>
                <w:rFonts w:cs="Calibri"/>
                <w:w w:val="95"/>
              </w:rPr>
              <w:t>3.</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700" w:type="dxa"/>
            <w:gridSpan w:val="2"/>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Ekonomičnost financiranja</w:t>
            </w:r>
          </w:p>
        </w:tc>
        <w:tc>
          <w:tcPr>
            <w:tcW w:w="1040" w:type="dxa"/>
            <w:gridSpan w:val="2"/>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jc w:val="center"/>
              <w:rPr>
                <w:rFonts w:ascii="Times New Roman" w:hAnsi="Times New Roman"/>
                <w:sz w:val="24"/>
                <w:szCs w:val="24"/>
              </w:rPr>
            </w:pPr>
            <w:r w:rsidRPr="00481167">
              <w:rPr>
                <w:rFonts w:cs="Calibri"/>
                <w:w w:val="97"/>
              </w:rPr>
              <w:t>0,01</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tcBorders>
              <w:top w:val="nil"/>
              <w:left w:val="nil"/>
              <w:bottom w:val="single" w:sz="8" w:space="0" w:color="auto"/>
              <w:right w:val="nil"/>
            </w:tcBorders>
            <w:vAlign w:val="bottom"/>
          </w:tcPr>
          <w:p w:rsidR="005558F5" w:rsidRPr="005558F5" w:rsidRDefault="005558F5" w:rsidP="00933A35">
            <w:pPr>
              <w:widowControl w:val="0"/>
              <w:autoSpaceDE w:val="0"/>
              <w:autoSpaceDN w:val="0"/>
              <w:adjustRightInd w:val="0"/>
              <w:spacing w:after="0" w:line="240" w:lineRule="auto"/>
              <w:jc w:val="center"/>
              <w:rPr>
                <w:rFonts w:ascii="Times New Roman" w:hAnsi="Times New Roman"/>
              </w:rPr>
            </w:pPr>
            <w:r w:rsidRPr="005558F5">
              <w:rPr>
                <w:rFonts w:ascii="Times New Roman" w:hAnsi="Times New Roman"/>
              </w:rPr>
              <w:t xml:space="preserve">  0,06</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bl>
    <w:p w:rsidR="005558F5" w:rsidRDefault="005558F5" w:rsidP="005558F5">
      <w:pPr>
        <w:widowControl w:val="0"/>
        <w:autoSpaceDE w:val="0"/>
        <w:autoSpaceDN w:val="0"/>
        <w:adjustRightInd w:val="0"/>
        <w:spacing w:after="0" w:line="310" w:lineRule="exact"/>
        <w:rPr>
          <w:rFonts w:ascii="Times New Roman" w:hAnsi="Times New Roman"/>
          <w:sz w:val="24"/>
          <w:szCs w:val="24"/>
        </w:rPr>
      </w:pPr>
    </w:p>
    <w:p w:rsidR="005558F5" w:rsidRPr="005558F5" w:rsidRDefault="005558F5" w:rsidP="00F27FAC">
      <w:pPr>
        <w:widowControl w:val="0"/>
        <w:overflowPunct w:val="0"/>
        <w:autoSpaceDE w:val="0"/>
        <w:autoSpaceDN w:val="0"/>
        <w:adjustRightInd w:val="0"/>
        <w:spacing w:after="0" w:line="240" w:lineRule="auto"/>
        <w:ind w:left="40"/>
        <w:jc w:val="both"/>
        <w:rPr>
          <w:rFonts w:ascii="Times New Roman" w:hAnsi="Times New Roman"/>
          <w:sz w:val="24"/>
          <w:szCs w:val="24"/>
        </w:rPr>
      </w:pPr>
      <w:r w:rsidRPr="005558F5">
        <w:rPr>
          <w:rFonts w:ascii="Times New Roman" w:hAnsi="Times New Roman"/>
          <w:sz w:val="24"/>
          <w:szCs w:val="24"/>
        </w:rPr>
        <w:t>Pokazatelji ekonomičnosti mjere odnos prihoda i rashoda i pokazuju koliko se prihoda ostvaruje po jedinici rashoda. Tablica 13. upućuje na minimalni iznos ekonomičnosti Društva koje iako ostvaruje vrijednosti veće od 1, to je i dalje nedovoljno visoko.</w:t>
      </w:r>
    </w:p>
    <w:p w:rsidR="005558F5" w:rsidRPr="005558F5" w:rsidRDefault="005558F5" w:rsidP="00F27FAC">
      <w:pPr>
        <w:widowControl w:val="0"/>
        <w:autoSpaceDE w:val="0"/>
        <w:autoSpaceDN w:val="0"/>
        <w:adjustRightInd w:val="0"/>
        <w:spacing w:after="0" w:line="240" w:lineRule="auto"/>
        <w:jc w:val="both"/>
        <w:rPr>
          <w:rFonts w:ascii="Times New Roman" w:hAnsi="Times New Roman"/>
          <w:sz w:val="24"/>
          <w:szCs w:val="24"/>
        </w:rPr>
      </w:pPr>
    </w:p>
    <w:p w:rsidR="005558F5" w:rsidRPr="005558F5" w:rsidRDefault="005558F5" w:rsidP="005558F5">
      <w:pPr>
        <w:widowControl w:val="0"/>
        <w:autoSpaceDE w:val="0"/>
        <w:autoSpaceDN w:val="0"/>
        <w:adjustRightInd w:val="0"/>
        <w:spacing w:after="0" w:line="240" w:lineRule="auto"/>
        <w:jc w:val="both"/>
        <w:rPr>
          <w:rFonts w:ascii="Times New Roman" w:hAnsi="Times New Roman"/>
          <w:sz w:val="24"/>
          <w:szCs w:val="24"/>
        </w:rPr>
      </w:pPr>
    </w:p>
    <w:p w:rsidR="005558F5" w:rsidRDefault="005558F5" w:rsidP="005558F5">
      <w:pPr>
        <w:widowControl w:val="0"/>
        <w:autoSpaceDE w:val="0"/>
        <w:autoSpaceDN w:val="0"/>
        <w:adjustRightInd w:val="0"/>
        <w:spacing w:after="0" w:line="240" w:lineRule="auto"/>
        <w:rPr>
          <w:rFonts w:ascii="Times New Roman" w:hAnsi="Times New Roman"/>
          <w:sz w:val="24"/>
          <w:szCs w:val="24"/>
        </w:rPr>
        <w:sectPr w:rsidR="005558F5" w:rsidSect="00D84B17">
          <w:footerReference w:type="default" r:id="rId18"/>
          <w:footerReference w:type="first" r:id="rId19"/>
          <w:pgSz w:w="11900" w:h="16838"/>
          <w:pgMar w:top="1417" w:right="1417" w:bottom="1417" w:left="1417" w:header="454" w:footer="170" w:gutter="0"/>
          <w:cols w:space="720" w:equalWidth="0">
            <w:col w:w="9103"/>
          </w:cols>
          <w:noEndnote/>
          <w:titlePg/>
          <w:docGrid w:linePitch="299"/>
        </w:sectPr>
      </w:pPr>
    </w:p>
    <w:p w:rsidR="00F27FAC" w:rsidRDefault="00F27FAC" w:rsidP="00F27FAC">
      <w:pPr>
        <w:widowControl w:val="0"/>
        <w:autoSpaceDE w:val="0"/>
        <w:autoSpaceDN w:val="0"/>
        <w:adjustRightInd w:val="0"/>
        <w:spacing w:after="0" w:line="240" w:lineRule="auto"/>
        <w:rPr>
          <w:rFonts w:cs="Calibri"/>
          <w:sz w:val="32"/>
          <w:szCs w:val="32"/>
        </w:rPr>
      </w:pPr>
      <w:bookmarkStart w:id="1" w:name="page19"/>
      <w:bookmarkEnd w:id="1"/>
    </w:p>
    <w:p w:rsidR="005558F5" w:rsidRPr="007A0CDB" w:rsidRDefault="005558F5" w:rsidP="00F27FAC">
      <w:pPr>
        <w:widowControl w:val="0"/>
        <w:autoSpaceDE w:val="0"/>
        <w:autoSpaceDN w:val="0"/>
        <w:adjustRightInd w:val="0"/>
        <w:spacing w:after="0" w:line="240" w:lineRule="auto"/>
        <w:rPr>
          <w:rFonts w:ascii="Times New Roman" w:hAnsi="Times New Roman"/>
          <w:b/>
          <w:i/>
          <w:sz w:val="24"/>
          <w:szCs w:val="24"/>
        </w:rPr>
      </w:pPr>
      <w:r w:rsidRPr="007A0CDB">
        <w:rPr>
          <w:rFonts w:cs="Calibri"/>
          <w:b/>
          <w:i/>
          <w:sz w:val="32"/>
          <w:szCs w:val="32"/>
        </w:rPr>
        <w:t>Pokazatelji zaduženosti</w:t>
      </w:r>
    </w:p>
    <w:p w:rsidR="005558F5" w:rsidRDefault="005558F5" w:rsidP="005558F5">
      <w:pPr>
        <w:widowControl w:val="0"/>
        <w:autoSpaceDE w:val="0"/>
        <w:autoSpaceDN w:val="0"/>
        <w:adjustRightInd w:val="0"/>
        <w:spacing w:after="0" w:line="327" w:lineRule="exact"/>
        <w:rPr>
          <w:rFonts w:ascii="Times New Roman" w:hAnsi="Times New Roman"/>
          <w:sz w:val="24"/>
          <w:szCs w:val="24"/>
        </w:rPr>
      </w:pPr>
    </w:p>
    <w:p w:rsidR="005558F5" w:rsidRDefault="005558F5" w:rsidP="005558F5">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14. Pokazatelji zaduženosti Društva u razdoblju 2014.- 2015. godine</w:t>
      </w:r>
    </w:p>
    <w:p w:rsidR="005558F5" w:rsidRDefault="005558F5" w:rsidP="005558F5">
      <w:pPr>
        <w:widowControl w:val="0"/>
        <w:autoSpaceDE w:val="0"/>
        <w:autoSpaceDN w:val="0"/>
        <w:adjustRightInd w:val="0"/>
        <w:spacing w:after="0" w:line="1"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680"/>
        <w:gridCol w:w="120"/>
        <w:gridCol w:w="80"/>
        <w:gridCol w:w="4440"/>
        <w:gridCol w:w="140"/>
        <w:gridCol w:w="80"/>
        <w:gridCol w:w="960"/>
        <w:gridCol w:w="120"/>
        <w:gridCol w:w="80"/>
        <w:gridCol w:w="940"/>
        <w:gridCol w:w="120"/>
        <w:gridCol w:w="30"/>
      </w:tblGrid>
      <w:tr w:rsidR="005558F5" w:rsidRPr="00481167" w:rsidTr="00933A35">
        <w:trPr>
          <w:trHeight w:val="180"/>
        </w:trPr>
        <w:tc>
          <w:tcPr>
            <w:tcW w:w="120" w:type="dxa"/>
            <w:tcBorders>
              <w:top w:val="single" w:sz="8" w:space="0" w:color="auto"/>
              <w:left w:val="single" w:sz="8" w:space="0" w:color="auto"/>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68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444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67" w:lineRule="exact"/>
              <w:ind w:left="1760"/>
              <w:rPr>
                <w:rFonts w:ascii="Times New Roman" w:hAnsi="Times New Roman"/>
                <w:sz w:val="24"/>
                <w:szCs w:val="24"/>
              </w:rPr>
            </w:pPr>
            <w:r w:rsidRPr="00481167">
              <w:rPr>
                <w:rFonts w:cs="Calibri"/>
                <w:b/>
                <w:bCs/>
                <w:color w:val="FFFFFF"/>
              </w:rPr>
              <w:t>Pokazatelj</w:t>
            </w:r>
          </w:p>
        </w:tc>
        <w:tc>
          <w:tcPr>
            <w:tcW w:w="14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96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2014</w:t>
            </w:r>
            <w:r w:rsidRPr="00481167">
              <w:rPr>
                <w:rFonts w:cs="Calibri"/>
                <w:b/>
                <w:bCs/>
                <w:color w:val="FFFFFF"/>
                <w:w w:val="98"/>
              </w:rPr>
              <w:t>.</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94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2015</w:t>
            </w:r>
            <w:r w:rsidRPr="00481167">
              <w:rPr>
                <w:rFonts w:cs="Calibri"/>
                <w:b/>
                <w:bCs/>
                <w:color w:val="FFFFFF"/>
                <w:w w:val="98"/>
              </w:rPr>
              <w:t>.</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65"/>
        </w:trPr>
        <w:tc>
          <w:tcPr>
            <w:tcW w:w="120" w:type="dxa"/>
            <w:tcBorders>
              <w:top w:val="nil"/>
              <w:left w:val="single" w:sz="8" w:space="0" w:color="auto"/>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68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444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96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940" w:type="dxa"/>
            <w:vMerge/>
            <w:tcBorders>
              <w:top w:val="nil"/>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27"/>
        </w:trPr>
        <w:tc>
          <w:tcPr>
            <w:tcW w:w="120" w:type="dxa"/>
            <w:tcBorders>
              <w:top w:val="nil"/>
              <w:left w:val="single" w:sz="8" w:space="0" w:color="auto"/>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6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444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14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96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94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63"/>
        </w:trPr>
        <w:tc>
          <w:tcPr>
            <w:tcW w:w="120" w:type="dxa"/>
            <w:tcBorders>
              <w:top w:val="single" w:sz="8" w:space="0" w:color="F79646"/>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68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444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0" w:lineRule="exact"/>
              <w:ind w:left="2180"/>
              <w:rPr>
                <w:rFonts w:ascii="Times New Roman" w:hAnsi="Times New Roman"/>
                <w:sz w:val="24"/>
                <w:szCs w:val="24"/>
              </w:rPr>
            </w:pPr>
            <w:r w:rsidRPr="00481167">
              <w:rPr>
                <w:rFonts w:cs="Calibri"/>
              </w:rPr>
              <w:t>1</w:t>
            </w:r>
          </w:p>
        </w:tc>
        <w:tc>
          <w:tcPr>
            <w:tcW w:w="140" w:type="dxa"/>
            <w:tcBorders>
              <w:top w:val="single" w:sz="8" w:space="0" w:color="F79646"/>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96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94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w w:val="89"/>
              </w:rPr>
              <w:t>3</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18"/>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1.</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58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 zaduženosti</w:t>
            </w:r>
          </w:p>
        </w:tc>
        <w:tc>
          <w:tcPr>
            <w:tcW w:w="1040" w:type="dxa"/>
            <w:gridSpan w:val="2"/>
            <w:vMerge w:val="restart"/>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7"/>
              </w:rPr>
              <w:t>0,56</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vMerge w:val="restart"/>
            <w:tcBorders>
              <w:top w:val="nil"/>
              <w:left w:val="nil"/>
              <w:bottom w:val="nil"/>
              <w:right w:val="nil"/>
            </w:tcBorders>
            <w:vAlign w:val="bottom"/>
          </w:tcPr>
          <w:p w:rsidR="005558F5" w:rsidRPr="00F27FAC" w:rsidRDefault="005558F5" w:rsidP="00933A35">
            <w:pPr>
              <w:widowControl w:val="0"/>
              <w:autoSpaceDE w:val="0"/>
              <w:autoSpaceDN w:val="0"/>
              <w:adjustRightInd w:val="0"/>
              <w:spacing w:after="0" w:line="267" w:lineRule="exact"/>
              <w:jc w:val="center"/>
              <w:rPr>
                <w:rFonts w:asciiTheme="minorHAnsi" w:hAnsiTheme="minorHAnsi"/>
              </w:rPr>
            </w:pPr>
            <w:r w:rsidRPr="00F27FAC">
              <w:rPr>
                <w:rFonts w:asciiTheme="minorHAnsi" w:hAnsiTheme="minorHAnsi"/>
              </w:rPr>
              <w:t>0,44</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03"/>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458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ukupne obveze/ukupna imovina</w:t>
            </w:r>
          </w:p>
        </w:tc>
        <w:tc>
          <w:tcPr>
            <w:tcW w:w="104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02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0"/>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4580" w:type="dxa"/>
            <w:gridSpan w:val="2"/>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6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17"/>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2.</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58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Koef.vlastitog financiranja</w:t>
            </w:r>
          </w:p>
        </w:tc>
        <w:tc>
          <w:tcPr>
            <w:tcW w:w="1040" w:type="dxa"/>
            <w:gridSpan w:val="2"/>
            <w:vMerge w:val="restart"/>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7"/>
              </w:rPr>
              <w:t>0,44</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vMerge w:val="restart"/>
            <w:tcBorders>
              <w:top w:val="nil"/>
              <w:left w:val="nil"/>
              <w:bottom w:val="nil"/>
              <w:right w:val="nil"/>
            </w:tcBorders>
            <w:vAlign w:val="bottom"/>
          </w:tcPr>
          <w:p w:rsidR="005558F5" w:rsidRPr="00F27FAC" w:rsidRDefault="005558F5" w:rsidP="00933A35">
            <w:pPr>
              <w:widowControl w:val="0"/>
              <w:autoSpaceDE w:val="0"/>
              <w:autoSpaceDN w:val="0"/>
              <w:adjustRightInd w:val="0"/>
              <w:spacing w:after="0" w:line="267" w:lineRule="exact"/>
              <w:jc w:val="center"/>
              <w:rPr>
                <w:rFonts w:asciiTheme="minorHAnsi" w:hAnsiTheme="minorHAnsi"/>
              </w:rPr>
            </w:pPr>
            <w:r w:rsidRPr="00F27FAC">
              <w:rPr>
                <w:rFonts w:asciiTheme="minorHAnsi" w:hAnsiTheme="minorHAnsi"/>
              </w:rPr>
              <w:t>0,52</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03"/>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458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kapital/ukupna imovina</w:t>
            </w:r>
          </w:p>
        </w:tc>
        <w:tc>
          <w:tcPr>
            <w:tcW w:w="104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02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0"/>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4580" w:type="dxa"/>
            <w:gridSpan w:val="2"/>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6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17"/>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3.</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58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Koef.financiranja</w:t>
            </w:r>
          </w:p>
        </w:tc>
        <w:tc>
          <w:tcPr>
            <w:tcW w:w="1040" w:type="dxa"/>
            <w:gridSpan w:val="2"/>
            <w:vMerge w:val="restart"/>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rPr>
              <w:t>1,3</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vMerge w:val="restart"/>
            <w:tcBorders>
              <w:top w:val="nil"/>
              <w:left w:val="nil"/>
              <w:bottom w:val="nil"/>
              <w:right w:val="nil"/>
            </w:tcBorders>
            <w:vAlign w:val="bottom"/>
          </w:tcPr>
          <w:p w:rsidR="005558F5" w:rsidRPr="00F27FAC" w:rsidRDefault="005558F5" w:rsidP="00933A35">
            <w:pPr>
              <w:widowControl w:val="0"/>
              <w:autoSpaceDE w:val="0"/>
              <w:autoSpaceDN w:val="0"/>
              <w:adjustRightInd w:val="0"/>
              <w:spacing w:after="0" w:line="267" w:lineRule="exact"/>
              <w:jc w:val="center"/>
              <w:rPr>
                <w:rFonts w:asciiTheme="minorHAnsi" w:hAnsiTheme="minorHAnsi"/>
              </w:rPr>
            </w:pPr>
            <w:r w:rsidRPr="00F27FAC">
              <w:rPr>
                <w:rFonts w:asciiTheme="minorHAnsi" w:hAnsiTheme="minorHAnsi"/>
              </w:rPr>
              <w:t>0,85</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04"/>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458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ukupne obveze/kapital</w:t>
            </w:r>
          </w:p>
        </w:tc>
        <w:tc>
          <w:tcPr>
            <w:tcW w:w="104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02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0"/>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4580" w:type="dxa"/>
            <w:gridSpan w:val="2"/>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6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17"/>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4.</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58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Faktor zaduženosti</w:t>
            </w:r>
          </w:p>
        </w:tc>
        <w:tc>
          <w:tcPr>
            <w:tcW w:w="1040" w:type="dxa"/>
            <w:gridSpan w:val="2"/>
            <w:vMerge w:val="restart"/>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7"/>
              </w:rPr>
              <w:t>3,98</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vMerge w:val="restart"/>
            <w:tcBorders>
              <w:top w:val="nil"/>
              <w:left w:val="nil"/>
              <w:bottom w:val="nil"/>
              <w:right w:val="nil"/>
            </w:tcBorders>
            <w:vAlign w:val="bottom"/>
          </w:tcPr>
          <w:p w:rsidR="005558F5" w:rsidRPr="00F27FAC" w:rsidRDefault="005558F5" w:rsidP="00933A35">
            <w:pPr>
              <w:widowControl w:val="0"/>
              <w:autoSpaceDE w:val="0"/>
              <w:autoSpaceDN w:val="0"/>
              <w:adjustRightInd w:val="0"/>
              <w:spacing w:after="0" w:line="267" w:lineRule="exact"/>
              <w:jc w:val="center"/>
              <w:rPr>
                <w:rFonts w:asciiTheme="minorHAnsi" w:hAnsiTheme="minorHAnsi"/>
              </w:rPr>
            </w:pPr>
            <w:r w:rsidRPr="00F27FAC">
              <w:rPr>
                <w:rFonts w:asciiTheme="minorHAnsi" w:hAnsiTheme="minorHAnsi"/>
              </w:rPr>
              <w:t>2,59</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03"/>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458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ukupne obveze/(zadržana dobit + amortizacija)</w:t>
            </w:r>
          </w:p>
        </w:tc>
        <w:tc>
          <w:tcPr>
            <w:tcW w:w="104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02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0"/>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4580" w:type="dxa"/>
            <w:gridSpan w:val="2"/>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6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19"/>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5.</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58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Pr>
                <w:rFonts w:cs="Calibri"/>
                <w:b/>
                <w:bCs/>
              </w:rPr>
              <w:t>Stupanj pokrić</w:t>
            </w:r>
            <w:r w:rsidRPr="00481167">
              <w:rPr>
                <w:rFonts w:cs="Calibri"/>
                <w:b/>
                <w:bCs/>
              </w:rPr>
              <w:t>a I.</w:t>
            </w:r>
          </w:p>
        </w:tc>
        <w:tc>
          <w:tcPr>
            <w:tcW w:w="1040" w:type="dxa"/>
            <w:gridSpan w:val="2"/>
            <w:vMerge w:val="restart"/>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7"/>
              </w:rPr>
              <w:t>1,23</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vMerge w:val="restart"/>
            <w:tcBorders>
              <w:top w:val="nil"/>
              <w:left w:val="nil"/>
              <w:bottom w:val="nil"/>
              <w:right w:val="nil"/>
            </w:tcBorders>
            <w:vAlign w:val="bottom"/>
          </w:tcPr>
          <w:p w:rsidR="005558F5" w:rsidRPr="00F27FAC" w:rsidRDefault="005558F5" w:rsidP="00933A35">
            <w:pPr>
              <w:widowControl w:val="0"/>
              <w:autoSpaceDE w:val="0"/>
              <w:autoSpaceDN w:val="0"/>
              <w:adjustRightInd w:val="0"/>
              <w:spacing w:after="0" w:line="267" w:lineRule="exact"/>
              <w:jc w:val="center"/>
              <w:rPr>
                <w:rFonts w:asciiTheme="minorHAnsi" w:hAnsiTheme="minorHAnsi"/>
              </w:rPr>
            </w:pPr>
            <w:r w:rsidRPr="00F27FAC">
              <w:rPr>
                <w:rFonts w:asciiTheme="minorHAnsi" w:hAnsiTheme="minorHAnsi"/>
              </w:rPr>
              <w:t>1,20</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01"/>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458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6" w:lineRule="exact"/>
              <w:rPr>
                <w:rFonts w:ascii="Times New Roman" w:hAnsi="Times New Roman"/>
                <w:sz w:val="24"/>
                <w:szCs w:val="24"/>
              </w:rPr>
            </w:pPr>
            <w:r w:rsidRPr="00481167">
              <w:rPr>
                <w:rFonts w:cs="Calibri"/>
              </w:rPr>
              <w:t>kapital/dugotrajna imovina</w:t>
            </w:r>
          </w:p>
        </w:tc>
        <w:tc>
          <w:tcPr>
            <w:tcW w:w="104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02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0"/>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4580" w:type="dxa"/>
            <w:gridSpan w:val="2"/>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6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9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33"/>
        </w:trPr>
        <w:tc>
          <w:tcPr>
            <w:tcW w:w="800" w:type="dxa"/>
            <w:gridSpan w:val="2"/>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6.</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58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r>
              <w:rPr>
                <w:rFonts w:cs="Calibri"/>
                <w:b/>
                <w:bCs/>
              </w:rPr>
              <w:t>Stupanj pokrić</w:t>
            </w:r>
            <w:r w:rsidRPr="00481167">
              <w:rPr>
                <w:rFonts w:cs="Calibri"/>
                <w:b/>
                <w:bCs/>
              </w:rPr>
              <w:t>a II.</w:t>
            </w:r>
          </w:p>
        </w:tc>
        <w:tc>
          <w:tcPr>
            <w:tcW w:w="1040" w:type="dxa"/>
            <w:gridSpan w:val="2"/>
            <w:vMerge w:val="restart"/>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7"/>
              </w:rPr>
              <w:t>1,52</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gridSpan w:val="2"/>
            <w:vMerge w:val="restart"/>
            <w:tcBorders>
              <w:top w:val="nil"/>
              <w:left w:val="nil"/>
              <w:bottom w:val="nil"/>
              <w:right w:val="nil"/>
            </w:tcBorders>
            <w:vAlign w:val="bottom"/>
          </w:tcPr>
          <w:p w:rsidR="005558F5" w:rsidRPr="00F27FAC" w:rsidRDefault="005558F5" w:rsidP="00933A35">
            <w:pPr>
              <w:widowControl w:val="0"/>
              <w:autoSpaceDE w:val="0"/>
              <w:autoSpaceDN w:val="0"/>
              <w:adjustRightInd w:val="0"/>
              <w:spacing w:after="0" w:line="267" w:lineRule="exact"/>
              <w:jc w:val="center"/>
              <w:rPr>
                <w:rFonts w:asciiTheme="minorHAnsi" w:hAnsiTheme="minorHAnsi"/>
              </w:rPr>
            </w:pPr>
            <w:r w:rsidRPr="00F27FAC">
              <w:rPr>
                <w:rFonts w:asciiTheme="minorHAnsi" w:hAnsiTheme="minorHAnsi"/>
              </w:rPr>
              <w:t>1,43</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96"/>
        </w:trPr>
        <w:tc>
          <w:tcPr>
            <w:tcW w:w="800" w:type="dxa"/>
            <w:gridSpan w:val="2"/>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4580" w:type="dxa"/>
            <w:gridSpan w:val="2"/>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r w:rsidRPr="00481167">
              <w:rPr>
                <w:rFonts w:cs="Calibri"/>
              </w:rPr>
              <w:t>kapital+dugoročne obveze/dugotrajna imovina</w:t>
            </w:r>
          </w:p>
        </w:tc>
        <w:tc>
          <w:tcPr>
            <w:tcW w:w="104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020" w:type="dxa"/>
            <w:gridSpan w:val="2"/>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7"/>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6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4580" w:type="dxa"/>
            <w:gridSpan w:val="2"/>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96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9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bl>
    <w:p w:rsidR="005558F5" w:rsidRDefault="005558F5" w:rsidP="005558F5">
      <w:pPr>
        <w:widowControl w:val="0"/>
        <w:autoSpaceDE w:val="0"/>
        <w:autoSpaceDN w:val="0"/>
        <w:adjustRightInd w:val="0"/>
        <w:spacing w:after="0" w:line="310" w:lineRule="exact"/>
        <w:rPr>
          <w:rFonts w:ascii="Times New Roman" w:hAnsi="Times New Roman"/>
          <w:sz w:val="24"/>
          <w:szCs w:val="24"/>
        </w:rPr>
      </w:pPr>
    </w:p>
    <w:p w:rsidR="005558F5" w:rsidRPr="00F27FAC" w:rsidRDefault="005558F5" w:rsidP="00F27FAC">
      <w:pPr>
        <w:widowControl w:val="0"/>
        <w:overflowPunct w:val="0"/>
        <w:autoSpaceDE w:val="0"/>
        <w:autoSpaceDN w:val="0"/>
        <w:adjustRightInd w:val="0"/>
        <w:spacing w:after="0" w:line="240" w:lineRule="auto"/>
        <w:ind w:left="40"/>
        <w:jc w:val="both"/>
        <w:rPr>
          <w:rFonts w:ascii="Times New Roman" w:hAnsi="Times New Roman"/>
          <w:sz w:val="24"/>
          <w:szCs w:val="24"/>
        </w:rPr>
      </w:pPr>
      <w:r w:rsidRPr="00F27FAC">
        <w:rPr>
          <w:rFonts w:ascii="Times New Roman" w:hAnsi="Times New Roman"/>
          <w:sz w:val="24"/>
          <w:szCs w:val="24"/>
        </w:rPr>
        <w:t xml:space="preserve">Iz tablice 14. zaključujemo da se Društvo financira tuđim izvorima u iznosu od 44% što </w:t>
      </w:r>
      <w:r w:rsidR="00F27FAC">
        <w:rPr>
          <w:rFonts w:ascii="Times New Roman" w:hAnsi="Times New Roman"/>
          <w:sz w:val="24"/>
          <w:szCs w:val="24"/>
        </w:rPr>
        <w:t xml:space="preserve">predstavlja koef. zaduženosti. </w:t>
      </w:r>
      <w:r w:rsidRPr="00F27FAC">
        <w:rPr>
          <w:rFonts w:ascii="Times New Roman" w:hAnsi="Times New Roman"/>
          <w:sz w:val="24"/>
          <w:szCs w:val="24"/>
        </w:rPr>
        <w:t xml:space="preserve">52% imovine financira se vlastitim izvorima što je vidljiv pomak u odnosu na godinu prije. </w:t>
      </w:r>
    </w:p>
    <w:p w:rsidR="005558F5" w:rsidRPr="00F27FAC" w:rsidRDefault="005558F5" w:rsidP="00F27FAC">
      <w:pPr>
        <w:widowControl w:val="0"/>
        <w:autoSpaceDE w:val="0"/>
        <w:autoSpaceDN w:val="0"/>
        <w:adjustRightInd w:val="0"/>
        <w:spacing w:after="0" w:line="240" w:lineRule="auto"/>
        <w:jc w:val="both"/>
        <w:rPr>
          <w:rFonts w:ascii="Times New Roman" w:hAnsi="Times New Roman"/>
          <w:sz w:val="24"/>
          <w:szCs w:val="24"/>
        </w:rPr>
      </w:pPr>
    </w:p>
    <w:p w:rsidR="005558F5" w:rsidRPr="00F27FAC" w:rsidRDefault="005558F5" w:rsidP="00F27FAC">
      <w:pPr>
        <w:widowControl w:val="0"/>
        <w:overflowPunct w:val="0"/>
        <w:autoSpaceDE w:val="0"/>
        <w:autoSpaceDN w:val="0"/>
        <w:adjustRightInd w:val="0"/>
        <w:spacing w:after="0" w:line="240" w:lineRule="auto"/>
        <w:ind w:left="40"/>
        <w:jc w:val="both"/>
        <w:rPr>
          <w:rFonts w:ascii="Times New Roman" w:hAnsi="Times New Roman"/>
          <w:sz w:val="24"/>
          <w:szCs w:val="24"/>
        </w:rPr>
      </w:pPr>
      <w:r w:rsidRPr="00F27FAC">
        <w:rPr>
          <w:rFonts w:ascii="Times New Roman" w:hAnsi="Times New Roman"/>
          <w:sz w:val="24"/>
          <w:szCs w:val="24"/>
        </w:rPr>
        <w:t>Iz ostvarene zadržane dobiti uvećane za amortizaciju za pokrivanje ukupnih obveza</w:t>
      </w:r>
      <w:r w:rsidR="00F27FAC">
        <w:rPr>
          <w:rFonts w:ascii="Times New Roman" w:hAnsi="Times New Roman"/>
          <w:sz w:val="24"/>
          <w:szCs w:val="24"/>
        </w:rPr>
        <w:t xml:space="preserve"> potrebno je manje od 3 godine. </w:t>
      </w:r>
      <w:r w:rsidRPr="00F27FAC">
        <w:rPr>
          <w:rFonts w:ascii="Times New Roman" w:hAnsi="Times New Roman"/>
          <w:sz w:val="24"/>
          <w:szCs w:val="24"/>
        </w:rPr>
        <w:t>S obzirom da zadržana dobit predstavlja 25% ukupnog kapitala činjenica da i kapital predstavlja u promatranom slučaju 52% izvora imovine, faktor zaduženosti je manji od referentne vrijednosti (3,5 godina).</w:t>
      </w:r>
    </w:p>
    <w:p w:rsidR="005558F5" w:rsidRPr="00F27FAC" w:rsidRDefault="005558F5" w:rsidP="00F27FAC">
      <w:pPr>
        <w:widowControl w:val="0"/>
        <w:autoSpaceDE w:val="0"/>
        <w:autoSpaceDN w:val="0"/>
        <w:adjustRightInd w:val="0"/>
        <w:spacing w:after="0" w:line="240" w:lineRule="auto"/>
        <w:jc w:val="both"/>
        <w:rPr>
          <w:rFonts w:ascii="Times New Roman" w:hAnsi="Times New Roman"/>
          <w:sz w:val="24"/>
          <w:szCs w:val="24"/>
        </w:rPr>
      </w:pPr>
    </w:p>
    <w:p w:rsidR="005558F5" w:rsidRPr="00F27FAC" w:rsidRDefault="005558F5" w:rsidP="00F27FAC">
      <w:pPr>
        <w:widowControl w:val="0"/>
        <w:overflowPunct w:val="0"/>
        <w:autoSpaceDE w:val="0"/>
        <w:autoSpaceDN w:val="0"/>
        <w:adjustRightInd w:val="0"/>
        <w:spacing w:after="0" w:line="240" w:lineRule="auto"/>
        <w:ind w:left="40" w:right="20"/>
        <w:jc w:val="both"/>
        <w:rPr>
          <w:rFonts w:ascii="Times New Roman" w:hAnsi="Times New Roman"/>
          <w:sz w:val="24"/>
          <w:szCs w:val="24"/>
        </w:rPr>
      </w:pPr>
      <w:r w:rsidRPr="00F27FAC">
        <w:rPr>
          <w:rFonts w:ascii="Times New Roman" w:hAnsi="Times New Roman"/>
          <w:sz w:val="24"/>
          <w:szCs w:val="24"/>
        </w:rPr>
        <w:t>Stupanj pokrića veći je od 1 što upućuje da se dugotrajna imovina financira jednim malim dijelom iz kapitala.</w:t>
      </w: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23" w:lineRule="exact"/>
        <w:rPr>
          <w:rFonts w:ascii="Times New Roman" w:hAnsi="Times New Roman"/>
          <w:sz w:val="24"/>
          <w:szCs w:val="24"/>
        </w:rPr>
      </w:pPr>
    </w:p>
    <w:p w:rsidR="005558F5" w:rsidRDefault="005558F5" w:rsidP="005558F5">
      <w:pPr>
        <w:widowControl w:val="0"/>
        <w:autoSpaceDE w:val="0"/>
        <w:autoSpaceDN w:val="0"/>
        <w:adjustRightInd w:val="0"/>
        <w:spacing w:after="0" w:line="240" w:lineRule="auto"/>
        <w:rPr>
          <w:rFonts w:ascii="Times New Roman" w:hAnsi="Times New Roman"/>
          <w:sz w:val="24"/>
          <w:szCs w:val="24"/>
        </w:rPr>
        <w:sectPr w:rsidR="005558F5" w:rsidSect="00FE295B">
          <w:pgSz w:w="11900" w:h="16838"/>
          <w:pgMar w:top="702" w:right="1400" w:bottom="704" w:left="1380" w:header="720" w:footer="720" w:gutter="0"/>
          <w:cols w:space="720" w:equalWidth="0">
            <w:col w:w="9120"/>
          </w:cols>
          <w:noEndnote/>
        </w:sect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bookmarkStart w:id="2" w:name="page20"/>
      <w:bookmarkEnd w:id="2"/>
    </w:p>
    <w:p w:rsidR="005558F5" w:rsidRDefault="005558F5" w:rsidP="005558F5">
      <w:pPr>
        <w:widowControl w:val="0"/>
        <w:autoSpaceDE w:val="0"/>
        <w:autoSpaceDN w:val="0"/>
        <w:adjustRightInd w:val="0"/>
        <w:spacing w:after="0" w:line="239" w:lineRule="exact"/>
        <w:rPr>
          <w:rFonts w:ascii="Times New Roman" w:hAnsi="Times New Roman"/>
          <w:sz w:val="24"/>
          <w:szCs w:val="24"/>
        </w:rPr>
      </w:pPr>
    </w:p>
    <w:p w:rsidR="005558F5" w:rsidRPr="007A0CDB" w:rsidRDefault="005558F5" w:rsidP="005558F5">
      <w:pPr>
        <w:widowControl w:val="0"/>
        <w:autoSpaceDE w:val="0"/>
        <w:autoSpaceDN w:val="0"/>
        <w:adjustRightInd w:val="0"/>
        <w:spacing w:after="0" w:line="240" w:lineRule="auto"/>
        <w:ind w:left="40"/>
        <w:rPr>
          <w:rFonts w:ascii="Times New Roman" w:hAnsi="Times New Roman"/>
          <w:b/>
          <w:i/>
          <w:sz w:val="24"/>
          <w:szCs w:val="24"/>
        </w:rPr>
      </w:pPr>
      <w:r w:rsidRPr="007A0CDB">
        <w:rPr>
          <w:rFonts w:cs="Calibri"/>
          <w:b/>
          <w:i/>
          <w:sz w:val="32"/>
          <w:szCs w:val="32"/>
        </w:rPr>
        <w:t>Pokazatelji aktivnosti</w:t>
      </w:r>
    </w:p>
    <w:p w:rsidR="005558F5" w:rsidRDefault="005558F5" w:rsidP="005558F5">
      <w:pPr>
        <w:widowControl w:val="0"/>
        <w:autoSpaceDE w:val="0"/>
        <w:autoSpaceDN w:val="0"/>
        <w:adjustRightInd w:val="0"/>
        <w:spacing w:after="0" w:line="327" w:lineRule="exact"/>
        <w:rPr>
          <w:rFonts w:ascii="Times New Roman" w:hAnsi="Times New Roman"/>
          <w:sz w:val="24"/>
          <w:szCs w:val="24"/>
        </w:rPr>
      </w:pPr>
    </w:p>
    <w:p w:rsidR="005558F5" w:rsidRDefault="005558F5" w:rsidP="005558F5">
      <w:pPr>
        <w:widowControl w:val="0"/>
        <w:autoSpaceDE w:val="0"/>
        <w:autoSpaceDN w:val="0"/>
        <w:adjustRightInd w:val="0"/>
        <w:spacing w:after="0" w:line="239" w:lineRule="auto"/>
        <w:ind w:left="40"/>
        <w:rPr>
          <w:rFonts w:ascii="Times New Roman" w:hAnsi="Times New Roman"/>
          <w:sz w:val="24"/>
          <w:szCs w:val="24"/>
        </w:rPr>
      </w:pPr>
      <w:r>
        <w:rPr>
          <w:rFonts w:cs="Calibri"/>
          <w:b/>
          <w:bCs/>
        </w:rPr>
        <w:t>Tablica 15. Pokazatelji aktivnosti Društva u razdoblju 2014.-2015.godine</w:t>
      </w:r>
    </w:p>
    <w:p w:rsidR="005558F5" w:rsidRDefault="005558F5" w:rsidP="005558F5">
      <w:pPr>
        <w:widowControl w:val="0"/>
        <w:autoSpaceDE w:val="0"/>
        <w:autoSpaceDN w:val="0"/>
        <w:adjustRightInd w:val="0"/>
        <w:spacing w:after="0" w:line="1"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800"/>
        <w:gridCol w:w="120"/>
        <w:gridCol w:w="80"/>
        <w:gridCol w:w="4100"/>
        <w:gridCol w:w="1040"/>
        <w:gridCol w:w="120"/>
        <w:gridCol w:w="1020"/>
        <w:gridCol w:w="120"/>
        <w:gridCol w:w="30"/>
      </w:tblGrid>
      <w:tr w:rsidR="005558F5" w:rsidRPr="00481167" w:rsidTr="00933A35">
        <w:trPr>
          <w:trHeight w:val="441"/>
        </w:trPr>
        <w:tc>
          <w:tcPr>
            <w:tcW w:w="800" w:type="dxa"/>
            <w:tcBorders>
              <w:top w:val="single" w:sz="8" w:space="0" w:color="auto"/>
              <w:left w:val="single" w:sz="8" w:space="0" w:color="auto"/>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b/>
                <w:bCs/>
                <w:color w:val="FFFFFF"/>
              </w:rPr>
              <w:t>Red.br.</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10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67" w:lineRule="exact"/>
              <w:ind w:left="1520"/>
              <w:rPr>
                <w:rFonts w:ascii="Times New Roman" w:hAnsi="Times New Roman"/>
                <w:sz w:val="24"/>
                <w:szCs w:val="24"/>
              </w:rPr>
            </w:pPr>
            <w:r w:rsidRPr="00481167">
              <w:rPr>
                <w:rFonts w:cs="Calibri"/>
                <w:b/>
                <w:bCs/>
                <w:color w:val="FFFFFF"/>
              </w:rPr>
              <w:t>Pokazatelj</w:t>
            </w:r>
          </w:p>
        </w:tc>
        <w:tc>
          <w:tcPr>
            <w:tcW w:w="104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2014</w:t>
            </w:r>
            <w:r w:rsidRPr="00481167">
              <w:rPr>
                <w:rFonts w:cs="Calibri"/>
                <w:b/>
                <w:bCs/>
                <w:color w:val="FFFFFF"/>
                <w:w w:val="98"/>
              </w:rPr>
              <w:t>.</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Pr>
                <w:rFonts w:cs="Calibri"/>
                <w:b/>
                <w:bCs/>
                <w:color w:val="FFFFFF"/>
                <w:w w:val="98"/>
              </w:rPr>
              <w:t>2015</w:t>
            </w:r>
            <w:r w:rsidRPr="00481167">
              <w:rPr>
                <w:rFonts w:cs="Calibri"/>
                <w:b/>
                <w:bCs/>
                <w:color w:val="FFFFFF"/>
                <w:w w:val="98"/>
              </w:rPr>
              <w:t>.</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31"/>
        </w:trPr>
        <w:tc>
          <w:tcPr>
            <w:tcW w:w="800" w:type="dxa"/>
            <w:tcBorders>
              <w:top w:val="nil"/>
              <w:left w:val="single" w:sz="8" w:space="0" w:color="auto"/>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410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104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1020" w:type="dxa"/>
            <w:tcBorders>
              <w:top w:val="nil"/>
              <w:left w:val="nil"/>
              <w:bottom w:val="single" w:sz="8" w:space="0" w:color="auto"/>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120" w:type="dxa"/>
            <w:tcBorders>
              <w:top w:val="nil"/>
              <w:left w:val="nil"/>
              <w:bottom w:val="single" w:sz="8" w:space="0" w:color="auto"/>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63"/>
        </w:trPr>
        <w:tc>
          <w:tcPr>
            <w:tcW w:w="800" w:type="dxa"/>
            <w:tcBorders>
              <w:top w:val="single" w:sz="8" w:space="0" w:color="F79646"/>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120" w:type="dxa"/>
            <w:tcBorders>
              <w:top w:val="single" w:sz="8" w:space="0" w:color="F79646"/>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8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4100" w:type="dxa"/>
            <w:tcBorders>
              <w:top w:val="single" w:sz="8" w:space="0" w:color="F79646"/>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60" w:lineRule="exact"/>
              <w:ind w:left="1940"/>
              <w:rPr>
                <w:rFonts w:ascii="Times New Roman" w:hAnsi="Times New Roman"/>
                <w:sz w:val="24"/>
                <w:szCs w:val="24"/>
              </w:rPr>
            </w:pPr>
            <w:r w:rsidRPr="00481167">
              <w:rPr>
                <w:rFonts w:cs="Calibri"/>
              </w:rPr>
              <w:t>1</w:t>
            </w:r>
          </w:p>
        </w:tc>
        <w:tc>
          <w:tcPr>
            <w:tcW w:w="104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rPr>
              <w:t>2</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1020" w:type="dxa"/>
            <w:tcBorders>
              <w:top w:val="single" w:sz="8" w:space="0" w:color="F79646"/>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0" w:lineRule="exact"/>
              <w:jc w:val="center"/>
              <w:rPr>
                <w:rFonts w:ascii="Times New Roman" w:hAnsi="Times New Roman"/>
                <w:sz w:val="24"/>
                <w:szCs w:val="24"/>
              </w:rPr>
            </w:pPr>
            <w:r w:rsidRPr="00481167">
              <w:rPr>
                <w:rFonts w:cs="Calibri"/>
                <w:w w:val="89"/>
              </w:rPr>
              <w:t>3</w:t>
            </w:r>
          </w:p>
        </w:tc>
        <w:tc>
          <w:tcPr>
            <w:tcW w:w="120" w:type="dxa"/>
            <w:tcBorders>
              <w:top w:val="single" w:sz="8" w:space="0" w:color="F79646"/>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18"/>
        </w:trPr>
        <w:tc>
          <w:tcPr>
            <w:tcW w:w="800" w:type="dxa"/>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1.</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10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Koef.obrtaja ukupne imovine</w:t>
            </w:r>
          </w:p>
        </w:tc>
        <w:tc>
          <w:tcPr>
            <w:tcW w:w="1040" w:type="dxa"/>
            <w:vMerge w:val="restart"/>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7"/>
              </w:rPr>
              <w:t>1,63</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vMerge w:val="restart"/>
            <w:tcBorders>
              <w:top w:val="nil"/>
              <w:left w:val="nil"/>
              <w:bottom w:val="nil"/>
              <w:right w:val="nil"/>
            </w:tcBorders>
            <w:vAlign w:val="bottom"/>
          </w:tcPr>
          <w:p w:rsidR="005558F5" w:rsidRPr="00F27FAC" w:rsidRDefault="005558F5" w:rsidP="00933A35">
            <w:pPr>
              <w:widowControl w:val="0"/>
              <w:autoSpaceDE w:val="0"/>
              <w:autoSpaceDN w:val="0"/>
              <w:adjustRightInd w:val="0"/>
              <w:spacing w:after="0" w:line="267" w:lineRule="exact"/>
              <w:jc w:val="center"/>
              <w:rPr>
                <w:rFonts w:asciiTheme="minorHAnsi" w:hAnsiTheme="minorHAnsi"/>
              </w:rPr>
            </w:pPr>
            <w:r w:rsidRPr="00F27FAC">
              <w:rPr>
                <w:rFonts w:asciiTheme="minorHAnsi" w:hAnsiTheme="minorHAnsi"/>
              </w:rPr>
              <w:t>1,75</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03"/>
        </w:trPr>
        <w:tc>
          <w:tcPr>
            <w:tcW w:w="800" w:type="dxa"/>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4100" w:type="dxa"/>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ukupni prihodi/ukupna imovina</w:t>
            </w:r>
          </w:p>
        </w:tc>
        <w:tc>
          <w:tcPr>
            <w:tcW w:w="1040" w:type="dxa"/>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020" w:type="dxa"/>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0"/>
        </w:trPr>
        <w:tc>
          <w:tcPr>
            <w:tcW w:w="80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4100" w:type="dxa"/>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0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17"/>
        </w:trPr>
        <w:tc>
          <w:tcPr>
            <w:tcW w:w="800" w:type="dxa"/>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2.</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10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Koef.obrtaja kratkotrajne imovine</w:t>
            </w:r>
          </w:p>
        </w:tc>
        <w:tc>
          <w:tcPr>
            <w:tcW w:w="1040" w:type="dxa"/>
            <w:vMerge w:val="restart"/>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7"/>
              </w:rPr>
              <w:t>2,52</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vMerge w:val="restart"/>
            <w:tcBorders>
              <w:top w:val="nil"/>
              <w:left w:val="nil"/>
              <w:bottom w:val="nil"/>
              <w:right w:val="nil"/>
            </w:tcBorders>
            <w:vAlign w:val="bottom"/>
          </w:tcPr>
          <w:p w:rsidR="005558F5" w:rsidRPr="00F27FAC" w:rsidRDefault="005558F5" w:rsidP="00933A35">
            <w:pPr>
              <w:widowControl w:val="0"/>
              <w:autoSpaceDE w:val="0"/>
              <w:autoSpaceDN w:val="0"/>
              <w:adjustRightInd w:val="0"/>
              <w:spacing w:after="0" w:line="267" w:lineRule="exact"/>
              <w:jc w:val="center"/>
              <w:rPr>
                <w:rFonts w:asciiTheme="minorHAnsi" w:hAnsiTheme="minorHAnsi"/>
              </w:rPr>
            </w:pPr>
            <w:r w:rsidRPr="00F27FAC">
              <w:rPr>
                <w:rFonts w:asciiTheme="minorHAnsi" w:hAnsiTheme="minorHAnsi"/>
              </w:rPr>
              <w:t>3,34</w:t>
            </w:r>
          </w:p>
        </w:tc>
        <w:tc>
          <w:tcPr>
            <w:tcW w:w="120" w:type="dxa"/>
            <w:tcBorders>
              <w:top w:val="nil"/>
              <w:left w:val="nil"/>
              <w:bottom w:val="nil"/>
              <w:right w:val="single" w:sz="8" w:space="0" w:color="auto"/>
            </w:tcBorders>
            <w:vAlign w:val="bottom"/>
          </w:tcPr>
          <w:p w:rsidR="005558F5" w:rsidRPr="00F27FAC" w:rsidRDefault="005558F5" w:rsidP="00933A35">
            <w:pPr>
              <w:widowControl w:val="0"/>
              <w:autoSpaceDE w:val="0"/>
              <w:autoSpaceDN w:val="0"/>
              <w:adjustRightInd w:val="0"/>
              <w:spacing w:after="0" w:line="240" w:lineRule="auto"/>
              <w:rPr>
                <w:rFonts w:asciiTheme="minorHAnsi" w:hAnsiTheme="minorHAnsi"/>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03"/>
        </w:trPr>
        <w:tc>
          <w:tcPr>
            <w:tcW w:w="800" w:type="dxa"/>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4100" w:type="dxa"/>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u</w:t>
            </w:r>
            <w:r w:rsidRPr="00481167">
              <w:rPr>
                <w:rFonts w:cs="Calibri"/>
              </w:rPr>
              <w:t>kupni prihodi/kratkotrajna imovina</w:t>
            </w:r>
          </w:p>
        </w:tc>
        <w:tc>
          <w:tcPr>
            <w:tcW w:w="1040" w:type="dxa"/>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020" w:type="dxa"/>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0"/>
        </w:trPr>
        <w:tc>
          <w:tcPr>
            <w:tcW w:w="80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4100" w:type="dxa"/>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0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17"/>
        </w:trPr>
        <w:tc>
          <w:tcPr>
            <w:tcW w:w="800" w:type="dxa"/>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3.</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10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Koef.obrtaja potraživanja</w:t>
            </w:r>
          </w:p>
        </w:tc>
        <w:tc>
          <w:tcPr>
            <w:tcW w:w="1040" w:type="dxa"/>
            <w:vMerge w:val="restart"/>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7"/>
              </w:rPr>
              <w:t>3,98</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vMerge w:val="restart"/>
            <w:tcBorders>
              <w:top w:val="nil"/>
              <w:left w:val="nil"/>
              <w:bottom w:val="nil"/>
              <w:right w:val="nil"/>
            </w:tcBorders>
            <w:vAlign w:val="bottom"/>
          </w:tcPr>
          <w:p w:rsidR="005558F5" w:rsidRPr="00F27FAC" w:rsidRDefault="005558F5" w:rsidP="00933A35">
            <w:pPr>
              <w:widowControl w:val="0"/>
              <w:autoSpaceDE w:val="0"/>
              <w:autoSpaceDN w:val="0"/>
              <w:adjustRightInd w:val="0"/>
              <w:spacing w:after="0" w:line="267" w:lineRule="exact"/>
              <w:jc w:val="center"/>
              <w:rPr>
                <w:rFonts w:asciiTheme="minorHAnsi" w:hAnsiTheme="minorHAnsi"/>
              </w:rPr>
            </w:pPr>
            <w:r w:rsidRPr="00F27FAC">
              <w:rPr>
                <w:rFonts w:asciiTheme="minorHAnsi" w:hAnsiTheme="minorHAnsi"/>
              </w:rPr>
              <w:t>7,75</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04"/>
        </w:trPr>
        <w:tc>
          <w:tcPr>
            <w:tcW w:w="800" w:type="dxa"/>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4100" w:type="dxa"/>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prihodi od prodaje/potraživanja od kupaca</w:t>
            </w:r>
          </w:p>
        </w:tc>
        <w:tc>
          <w:tcPr>
            <w:tcW w:w="1040" w:type="dxa"/>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020" w:type="dxa"/>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0"/>
        </w:trPr>
        <w:tc>
          <w:tcPr>
            <w:tcW w:w="80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4100" w:type="dxa"/>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0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33"/>
        </w:trPr>
        <w:tc>
          <w:tcPr>
            <w:tcW w:w="800" w:type="dxa"/>
            <w:vMerge w:val="restart"/>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67" w:lineRule="exact"/>
              <w:ind w:left="10"/>
              <w:jc w:val="center"/>
              <w:rPr>
                <w:rFonts w:ascii="Times New Roman" w:hAnsi="Times New Roman"/>
                <w:sz w:val="24"/>
                <w:szCs w:val="24"/>
              </w:rPr>
            </w:pPr>
            <w:r w:rsidRPr="00481167">
              <w:rPr>
                <w:rFonts w:cs="Calibri"/>
                <w:w w:val="95"/>
              </w:rPr>
              <w:t>4.</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10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b/>
                <w:bCs/>
              </w:rPr>
              <w:t>Trajanje naplate potraživanja</w:t>
            </w:r>
          </w:p>
        </w:tc>
        <w:tc>
          <w:tcPr>
            <w:tcW w:w="1040" w:type="dxa"/>
            <w:vMerge w:val="restart"/>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67" w:lineRule="exact"/>
              <w:jc w:val="center"/>
              <w:rPr>
                <w:rFonts w:ascii="Times New Roman" w:hAnsi="Times New Roman"/>
                <w:sz w:val="24"/>
                <w:szCs w:val="24"/>
              </w:rPr>
            </w:pPr>
            <w:r w:rsidRPr="00481167">
              <w:rPr>
                <w:rFonts w:cs="Calibri"/>
                <w:w w:val="97"/>
              </w:rPr>
              <w:t>91,7</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20" w:type="dxa"/>
            <w:vMerge w:val="restart"/>
            <w:tcBorders>
              <w:top w:val="nil"/>
              <w:left w:val="nil"/>
              <w:bottom w:val="nil"/>
              <w:right w:val="nil"/>
            </w:tcBorders>
            <w:vAlign w:val="bottom"/>
          </w:tcPr>
          <w:p w:rsidR="005558F5" w:rsidRPr="00F27FAC" w:rsidRDefault="005558F5" w:rsidP="00933A35">
            <w:pPr>
              <w:widowControl w:val="0"/>
              <w:autoSpaceDE w:val="0"/>
              <w:autoSpaceDN w:val="0"/>
              <w:adjustRightInd w:val="0"/>
              <w:spacing w:after="0" w:line="267" w:lineRule="exact"/>
              <w:jc w:val="center"/>
              <w:rPr>
                <w:rFonts w:asciiTheme="minorHAnsi" w:hAnsiTheme="minorHAnsi"/>
              </w:rPr>
            </w:pPr>
            <w:r w:rsidRPr="00F27FAC">
              <w:rPr>
                <w:rFonts w:asciiTheme="minorHAnsi" w:hAnsiTheme="minorHAnsi"/>
              </w:rPr>
              <w:t>47,10</w:t>
            </w: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94"/>
        </w:trPr>
        <w:tc>
          <w:tcPr>
            <w:tcW w:w="800" w:type="dxa"/>
            <w:vMerge/>
            <w:tcBorders>
              <w:top w:val="nil"/>
              <w:left w:val="single" w:sz="8" w:space="0" w:color="auto"/>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4100" w:type="dxa"/>
            <w:vMerge w:val="restart"/>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66" w:lineRule="exact"/>
              <w:rPr>
                <w:rFonts w:ascii="Times New Roman" w:hAnsi="Times New Roman"/>
                <w:sz w:val="24"/>
                <w:szCs w:val="24"/>
              </w:rPr>
            </w:pPr>
            <w:r w:rsidRPr="00481167">
              <w:rPr>
                <w:rFonts w:cs="Calibri"/>
              </w:rPr>
              <w:t>365/koef.obrtaja potraživanja</w:t>
            </w:r>
          </w:p>
        </w:tc>
        <w:tc>
          <w:tcPr>
            <w:tcW w:w="1040" w:type="dxa"/>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020" w:type="dxa"/>
            <w:vMerge/>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178"/>
        </w:trPr>
        <w:tc>
          <w:tcPr>
            <w:tcW w:w="80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4100" w:type="dxa"/>
            <w:vMerge/>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104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bl>
    <w:p w:rsidR="005558F5" w:rsidRDefault="005558F5" w:rsidP="005558F5">
      <w:pPr>
        <w:widowControl w:val="0"/>
        <w:autoSpaceDE w:val="0"/>
        <w:autoSpaceDN w:val="0"/>
        <w:adjustRightInd w:val="0"/>
        <w:spacing w:after="0" w:line="307" w:lineRule="exact"/>
        <w:rPr>
          <w:rFonts w:ascii="Times New Roman" w:hAnsi="Times New Roman"/>
          <w:sz w:val="24"/>
          <w:szCs w:val="24"/>
        </w:rPr>
      </w:pPr>
    </w:p>
    <w:p w:rsidR="005558F5" w:rsidRPr="00F27FAC" w:rsidRDefault="005558F5" w:rsidP="003570B7">
      <w:pPr>
        <w:widowControl w:val="0"/>
        <w:overflowPunct w:val="0"/>
        <w:autoSpaceDE w:val="0"/>
        <w:autoSpaceDN w:val="0"/>
        <w:adjustRightInd w:val="0"/>
        <w:spacing w:after="0"/>
        <w:ind w:left="40"/>
        <w:jc w:val="both"/>
        <w:rPr>
          <w:rFonts w:ascii="Times New Roman" w:hAnsi="Times New Roman"/>
          <w:sz w:val="24"/>
          <w:szCs w:val="24"/>
        </w:rPr>
      </w:pPr>
      <w:r w:rsidRPr="00F27FAC">
        <w:rPr>
          <w:rFonts w:ascii="Times New Roman" w:hAnsi="Times New Roman"/>
          <w:sz w:val="24"/>
          <w:szCs w:val="24"/>
        </w:rPr>
        <w:t>Sigurno</w:t>
      </w:r>
      <w:r w:rsidR="00A37D19">
        <w:rPr>
          <w:rFonts w:ascii="Times New Roman" w:hAnsi="Times New Roman"/>
          <w:sz w:val="24"/>
          <w:szCs w:val="24"/>
        </w:rPr>
        <w:t>st i uspješnost poslovanja moguć</w:t>
      </w:r>
      <w:r w:rsidRPr="00F27FAC">
        <w:rPr>
          <w:rFonts w:ascii="Times New Roman" w:hAnsi="Times New Roman"/>
          <w:sz w:val="24"/>
          <w:szCs w:val="24"/>
        </w:rPr>
        <w:t>e je ocijeniti na temelju pokazatelja aktivnosti koji ukazuju na brzinu cirkulacije imovine u poslovnom procesu.</w:t>
      </w:r>
    </w:p>
    <w:p w:rsidR="005558F5" w:rsidRPr="00F27FAC" w:rsidRDefault="005558F5" w:rsidP="003570B7">
      <w:pPr>
        <w:widowControl w:val="0"/>
        <w:autoSpaceDE w:val="0"/>
        <w:autoSpaceDN w:val="0"/>
        <w:adjustRightInd w:val="0"/>
        <w:spacing w:after="0"/>
        <w:jc w:val="both"/>
        <w:rPr>
          <w:rFonts w:ascii="Times New Roman" w:hAnsi="Times New Roman"/>
          <w:sz w:val="24"/>
          <w:szCs w:val="24"/>
        </w:rPr>
      </w:pPr>
    </w:p>
    <w:p w:rsidR="005558F5" w:rsidRPr="00F27FAC" w:rsidRDefault="005558F5" w:rsidP="003570B7">
      <w:pPr>
        <w:widowControl w:val="0"/>
        <w:overflowPunct w:val="0"/>
        <w:autoSpaceDE w:val="0"/>
        <w:autoSpaceDN w:val="0"/>
        <w:adjustRightInd w:val="0"/>
        <w:spacing w:after="0"/>
        <w:ind w:left="40"/>
        <w:jc w:val="both"/>
        <w:rPr>
          <w:rFonts w:ascii="Times New Roman" w:hAnsi="Times New Roman"/>
          <w:sz w:val="24"/>
          <w:szCs w:val="24"/>
        </w:rPr>
      </w:pPr>
      <w:r w:rsidRPr="00F27FAC">
        <w:rPr>
          <w:rFonts w:ascii="Times New Roman" w:hAnsi="Times New Roman"/>
          <w:sz w:val="24"/>
          <w:szCs w:val="24"/>
        </w:rPr>
        <w:t xml:space="preserve">Iz izračunatih pokazatelja aktivnosti (tablica 15.) uočavamo da poduzeće na svaku kunu ukupne imovine poslovanjem poduzeća ostvaruje 1,75 kune ukupnih prihoda što je 7% više nego u 2014. godini. Sagleda li se brzina cirkuliranja potraživanja i to posebice onih potraživanja o kojima najviše ovisi kvalitetan dio likvidnosti poduzeća, tj.potraživanja od kupaca, moguće je utvrditi kako je, za današnje uvjete poslovanja koje karakteriziraju uobičajeni problemi u naplati,a samim time i daljnjem plaćanju, dobra jer trajanje naplate iznosi 47 dana. </w:t>
      </w: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40" w:lineRule="auto"/>
        <w:rPr>
          <w:rFonts w:ascii="Times New Roman" w:hAnsi="Times New Roman"/>
          <w:sz w:val="24"/>
          <w:szCs w:val="24"/>
        </w:rPr>
        <w:sectPr w:rsidR="005558F5" w:rsidSect="00FE295B">
          <w:pgSz w:w="11900" w:h="16838"/>
          <w:pgMar w:top="702" w:right="1420" w:bottom="704" w:left="1380" w:header="720" w:footer="720" w:gutter="0"/>
          <w:cols w:space="720" w:equalWidth="0">
            <w:col w:w="9100"/>
          </w:cols>
          <w:noEndnote/>
        </w:sect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bookmarkStart w:id="3" w:name="page21"/>
      <w:bookmarkEnd w:id="3"/>
    </w:p>
    <w:p w:rsidR="005558F5" w:rsidRDefault="005558F5" w:rsidP="005558F5">
      <w:pPr>
        <w:widowControl w:val="0"/>
        <w:autoSpaceDE w:val="0"/>
        <w:autoSpaceDN w:val="0"/>
        <w:adjustRightInd w:val="0"/>
        <w:spacing w:after="0" w:line="239" w:lineRule="exact"/>
        <w:rPr>
          <w:rFonts w:ascii="Times New Roman" w:hAnsi="Times New Roman"/>
          <w:sz w:val="24"/>
          <w:szCs w:val="24"/>
        </w:rPr>
      </w:pPr>
    </w:p>
    <w:p w:rsidR="005558F5" w:rsidRDefault="005558F5" w:rsidP="005558F5">
      <w:pPr>
        <w:widowControl w:val="0"/>
        <w:autoSpaceDE w:val="0"/>
        <w:autoSpaceDN w:val="0"/>
        <w:adjustRightInd w:val="0"/>
        <w:spacing w:after="0" w:line="240" w:lineRule="auto"/>
        <w:ind w:left="40"/>
        <w:rPr>
          <w:rFonts w:ascii="Times New Roman" w:hAnsi="Times New Roman"/>
          <w:sz w:val="24"/>
          <w:szCs w:val="24"/>
        </w:rPr>
      </w:pPr>
      <w:r>
        <w:rPr>
          <w:rFonts w:cs="Calibri"/>
          <w:b/>
          <w:bCs/>
          <w:sz w:val="32"/>
          <w:szCs w:val="32"/>
        </w:rPr>
        <w:t>4. OČEKIVANI RAZVOJ DRUŠTVA U BUDUĆNOSTI</w:t>
      </w:r>
    </w:p>
    <w:p w:rsidR="005558F5" w:rsidRDefault="005558F5" w:rsidP="005558F5">
      <w:pPr>
        <w:widowControl w:val="0"/>
        <w:autoSpaceDE w:val="0"/>
        <w:autoSpaceDN w:val="0"/>
        <w:adjustRightInd w:val="0"/>
        <w:spacing w:after="0" w:line="376" w:lineRule="exact"/>
        <w:rPr>
          <w:rFonts w:ascii="Times New Roman" w:hAnsi="Times New Roman"/>
          <w:sz w:val="24"/>
          <w:szCs w:val="24"/>
        </w:rPr>
      </w:pPr>
    </w:p>
    <w:p w:rsidR="005558F5" w:rsidRPr="00F27FAC" w:rsidRDefault="005558F5" w:rsidP="00F27FAC">
      <w:pPr>
        <w:widowControl w:val="0"/>
        <w:overflowPunct w:val="0"/>
        <w:autoSpaceDE w:val="0"/>
        <w:autoSpaceDN w:val="0"/>
        <w:adjustRightInd w:val="0"/>
        <w:spacing w:after="0" w:line="240" w:lineRule="auto"/>
        <w:ind w:left="40"/>
        <w:jc w:val="both"/>
        <w:rPr>
          <w:rFonts w:ascii="Times New Roman" w:hAnsi="Times New Roman"/>
          <w:sz w:val="24"/>
          <w:szCs w:val="24"/>
        </w:rPr>
      </w:pPr>
      <w:r w:rsidRPr="00F27FAC">
        <w:rPr>
          <w:rFonts w:ascii="Times New Roman" w:hAnsi="Times New Roman"/>
          <w:sz w:val="24"/>
          <w:szCs w:val="24"/>
        </w:rPr>
        <w:t>Analiza okruženja ili okoline podrazumijeva istraživanje svih važnijih karakteristika kako vanjskog tako i unutarnjeg okruženja sa svrhom identifikacije strateških čimbenika koji će odrediti budućnost poduzeća, u nastavku je prikazana SWOT analiza Društva.</w:t>
      </w:r>
    </w:p>
    <w:p w:rsidR="005558F5" w:rsidRDefault="005558F5" w:rsidP="005558F5">
      <w:pPr>
        <w:widowControl w:val="0"/>
        <w:autoSpaceDE w:val="0"/>
        <w:autoSpaceDN w:val="0"/>
        <w:adjustRightInd w:val="0"/>
        <w:spacing w:after="0" w:line="259"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3960"/>
        <w:gridCol w:w="120"/>
        <w:gridCol w:w="100"/>
        <w:gridCol w:w="4280"/>
        <w:gridCol w:w="120"/>
        <w:gridCol w:w="30"/>
      </w:tblGrid>
      <w:tr w:rsidR="005558F5" w:rsidRPr="00481167" w:rsidTr="00933A35">
        <w:trPr>
          <w:trHeight w:val="40"/>
        </w:trPr>
        <w:tc>
          <w:tcPr>
            <w:tcW w:w="120" w:type="dxa"/>
            <w:tcBorders>
              <w:top w:val="single" w:sz="8" w:space="0" w:color="auto"/>
              <w:left w:val="single" w:sz="8" w:space="0" w:color="auto"/>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396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ind w:left="1640"/>
              <w:rPr>
                <w:rFonts w:ascii="Times New Roman" w:hAnsi="Times New Roman"/>
                <w:sz w:val="24"/>
                <w:szCs w:val="24"/>
              </w:rPr>
            </w:pPr>
            <w:r w:rsidRPr="00481167">
              <w:rPr>
                <w:rFonts w:cs="Calibri"/>
                <w:b/>
                <w:bCs/>
                <w:color w:val="FFFFFF"/>
                <w:sz w:val="24"/>
                <w:szCs w:val="24"/>
              </w:rPr>
              <w:t>SNAGE</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100" w:type="dxa"/>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4280" w:type="dxa"/>
            <w:vMerge w:val="restart"/>
            <w:tcBorders>
              <w:top w:val="single" w:sz="8" w:space="0" w:color="auto"/>
              <w:left w:val="nil"/>
              <w:bottom w:val="nil"/>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ind w:left="1660"/>
              <w:rPr>
                <w:rFonts w:ascii="Times New Roman" w:hAnsi="Times New Roman"/>
                <w:sz w:val="24"/>
                <w:szCs w:val="24"/>
              </w:rPr>
            </w:pPr>
            <w:r w:rsidRPr="00481167">
              <w:rPr>
                <w:rFonts w:cs="Calibri"/>
                <w:b/>
                <w:bCs/>
                <w:color w:val="FFFFFF"/>
                <w:sz w:val="24"/>
                <w:szCs w:val="24"/>
              </w:rPr>
              <w:t>SLABOSTI</w:t>
            </w:r>
          </w:p>
        </w:tc>
        <w:tc>
          <w:tcPr>
            <w:tcW w:w="120" w:type="dxa"/>
            <w:tcBorders>
              <w:top w:val="single" w:sz="8" w:space="0" w:color="auto"/>
              <w:left w:val="nil"/>
              <w:bottom w:val="nil"/>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0" w:lineRule="exact"/>
              <w:rPr>
                <w:rFonts w:ascii="Times New Roman" w:hAnsi="Times New Roman"/>
                <w:sz w:val="2"/>
                <w:szCs w:val="2"/>
              </w:rPr>
            </w:pPr>
          </w:p>
        </w:tc>
      </w:tr>
      <w:tr w:rsidR="005558F5" w:rsidRPr="00481167" w:rsidTr="00933A35">
        <w:trPr>
          <w:trHeight w:val="353"/>
        </w:trPr>
        <w:tc>
          <w:tcPr>
            <w:tcW w:w="120" w:type="dxa"/>
            <w:tcBorders>
              <w:top w:val="nil"/>
              <w:left w:val="single" w:sz="8" w:space="0" w:color="auto"/>
              <w:bottom w:val="single" w:sz="8" w:space="0" w:color="7F7F7F"/>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960" w:type="dxa"/>
            <w:vMerge/>
            <w:tcBorders>
              <w:top w:val="nil"/>
              <w:left w:val="nil"/>
              <w:bottom w:val="single" w:sz="8" w:space="0" w:color="7F7F7F"/>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7F7F7F"/>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7F7F7F"/>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vMerge/>
            <w:tcBorders>
              <w:top w:val="nil"/>
              <w:left w:val="nil"/>
              <w:bottom w:val="single" w:sz="8" w:space="0" w:color="7F7F7F"/>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7F7F7F"/>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63"/>
        </w:trPr>
        <w:tc>
          <w:tcPr>
            <w:tcW w:w="120" w:type="dxa"/>
            <w:tcBorders>
              <w:top w:val="single" w:sz="8" w:space="0" w:color="auto"/>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3960" w:type="dxa"/>
            <w:tcBorders>
              <w:top w:val="single" w:sz="8" w:space="0" w:color="auto"/>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0" w:lineRule="exact"/>
              <w:rPr>
                <w:rFonts w:ascii="Times New Roman" w:hAnsi="Times New Roman"/>
                <w:sz w:val="24"/>
                <w:szCs w:val="24"/>
              </w:rPr>
            </w:pPr>
            <w:r w:rsidRPr="00481167">
              <w:rPr>
                <w:rFonts w:cs="Calibri"/>
              </w:rPr>
              <w:t>Imidž/kredibilitet</w:t>
            </w:r>
          </w:p>
        </w:tc>
        <w:tc>
          <w:tcPr>
            <w:tcW w:w="120" w:type="dxa"/>
            <w:tcBorders>
              <w:top w:val="single" w:sz="8" w:space="0" w:color="auto"/>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100" w:type="dxa"/>
            <w:tcBorders>
              <w:top w:val="single" w:sz="8" w:space="0" w:color="auto"/>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rPr>
            </w:pPr>
          </w:p>
        </w:tc>
        <w:tc>
          <w:tcPr>
            <w:tcW w:w="4400" w:type="dxa"/>
            <w:gridSpan w:val="2"/>
            <w:tcBorders>
              <w:top w:val="single" w:sz="8" w:space="0" w:color="auto"/>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60" w:lineRule="exact"/>
              <w:rPr>
                <w:rFonts w:ascii="Times New Roman" w:hAnsi="Times New Roman"/>
                <w:sz w:val="24"/>
                <w:szCs w:val="24"/>
              </w:rPr>
            </w:pPr>
            <w:r w:rsidRPr="00481167">
              <w:rPr>
                <w:rFonts w:cs="Calibri"/>
              </w:rPr>
              <w:t>Nepostoj</w:t>
            </w:r>
            <w:r w:rsidR="0008150B">
              <w:rPr>
                <w:rFonts w:cs="Calibri"/>
              </w:rPr>
              <w:t>anje vlastitih asfaltnih postrojenja</w:t>
            </w: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6"/>
        </w:trPr>
        <w:tc>
          <w:tcPr>
            <w:tcW w:w="4080" w:type="dxa"/>
            <w:gridSpan w:val="2"/>
            <w:tcBorders>
              <w:top w:val="nil"/>
              <w:left w:val="single" w:sz="8" w:space="0" w:color="auto"/>
              <w:bottom w:val="nil"/>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nil"/>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440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0" w:lineRule="exact"/>
              <w:rPr>
                <w:rFonts w:ascii="Times New Roman" w:hAnsi="Times New Roman"/>
                <w:sz w:val="2"/>
                <w:szCs w:val="2"/>
              </w:rPr>
            </w:pPr>
          </w:p>
        </w:tc>
      </w:tr>
      <w:tr w:rsidR="005558F5" w:rsidRPr="00481167" w:rsidTr="00933A35">
        <w:trPr>
          <w:trHeight w:val="265"/>
        </w:trPr>
        <w:tc>
          <w:tcPr>
            <w:tcW w:w="120" w:type="dxa"/>
            <w:tcBorders>
              <w:top w:val="nil"/>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396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0" w:lineRule="exact"/>
              <w:rPr>
                <w:rFonts w:ascii="Times New Roman" w:hAnsi="Times New Roman"/>
                <w:sz w:val="24"/>
                <w:szCs w:val="24"/>
              </w:rPr>
            </w:pPr>
            <w:r w:rsidRPr="00481167">
              <w:rPr>
                <w:rFonts w:cs="Calibri"/>
              </w:rPr>
              <w:t>Monopol u održavanju javnih cesta</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4400" w:type="dxa"/>
            <w:gridSpan w:val="2"/>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60" w:lineRule="exact"/>
              <w:rPr>
                <w:rFonts w:ascii="Times New Roman" w:hAnsi="Times New Roman"/>
                <w:sz w:val="24"/>
                <w:szCs w:val="24"/>
              </w:rPr>
            </w:pPr>
            <w:r w:rsidRPr="00481167">
              <w:rPr>
                <w:rFonts w:cs="Calibri"/>
              </w:rPr>
              <w:t>Dugotrajni sudski sporovi</w:t>
            </w: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5"/>
        </w:trPr>
        <w:tc>
          <w:tcPr>
            <w:tcW w:w="4080" w:type="dxa"/>
            <w:gridSpan w:val="2"/>
            <w:tcBorders>
              <w:top w:val="nil"/>
              <w:left w:val="single" w:sz="8" w:space="0" w:color="auto"/>
              <w:bottom w:val="nil"/>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nil"/>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4400" w:type="dxa"/>
            <w:gridSpan w:val="2"/>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0" w:lineRule="exact"/>
              <w:rPr>
                <w:rFonts w:ascii="Times New Roman" w:hAnsi="Times New Roman"/>
                <w:sz w:val="2"/>
                <w:szCs w:val="2"/>
              </w:rPr>
            </w:pPr>
          </w:p>
        </w:tc>
      </w:tr>
      <w:tr w:rsidR="005558F5" w:rsidRPr="00481167" w:rsidTr="00933A35">
        <w:trPr>
          <w:trHeight w:val="265"/>
        </w:trPr>
        <w:tc>
          <w:tcPr>
            <w:tcW w:w="120" w:type="dxa"/>
            <w:tcBorders>
              <w:top w:val="nil"/>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3960" w:type="dxa"/>
            <w:tcBorders>
              <w:top w:val="nil"/>
              <w:left w:val="nil"/>
              <w:bottom w:val="single" w:sz="8" w:space="0" w:color="auto"/>
              <w:right w:val="nil"/>
            </w:tcBorders>
            <w:shd w:val="clear" w:color="auto" w:fill="F79646"/>
            <w:vAlign w:val="bottom"/>
          </w:tcPr>
          <w:p w:rsidR="005558F5" w:rsidRPr="00481167" w:rsidRDefault="0008150B" w:rsidP="00933A35">
            <w:pPr>
              <w:widowControl w:val="0"/>
              <w:autoSpaceDE w:val="0"/>
              <w:autoSpaceDN w:val="0"/>
              <w:adjustRightInd w:val="0"/>
              <w:spacing w:after="0" w:line="260" w:lineRule="exact"/>
              <w:rPr>
                <w:rFonts w:ascii="Times New Roman" w:hAnsi="Times New Roman"/>
                <w:sz w:val="24"/>
                <w:szCs w:val="24"/>
              </w:rPr>
            </w:pPr>
            <w:r>
              <w:rPr>
                <w:rFonts w:cs="Calibri"/>
              </w:rPr>
              <w:t>Širok spektar</w:t>
            </w:r>
            <w:r w:rsidR="005558F5" w:rsidRPr="00481167">
              <w:rPr>
                <w:rFonts w:cs="Calibri"/>
              </w:rPr>
              <w:t xml:space="preserve"> strojeva i opreme</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4400" w:type="dxa"/>
            <w:gridSpan w:val="2"/>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60" w:lineRule="exact"/>
              <w:rPr>
                <w:rFonts w:ascii="Times New Roman" w:hAnsi="Times New Roman"/>
                <w:sz w:val="24"/>
                <w:szCs w:val="24"/>
              </w:rPr>
            </w:pPr>
            <w:r w:rsidRPr="00481167">
              <w:rPr>
                <w:rFonts w:cs="Calibri"/>
              </w:rPr>
              <w:t>Nedovoljno kvalificirana radna snaga</w:t>
            </w: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5"/>
        </w:trPr>
        <w:tc>
          <w:tcPr>
            <w:tcW w:w="4080" w:type="dxa"/>
            <w:gridSpan w:val="2"/>
            <w:tcBorders>
              <w:top w:val="nil"/>
              <w:left w:val="single" w:sz="8" w:space="0" w:color="auto"/>
              <w:bottom w:val="nil"/>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nil"/>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42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0" w:lineRule="exact"/>
              <w:rPr>
                <w:rFonts w:ascii="Times New Roman" w:hAnsi="Times New Roman"/>
                <w:sz w:val="2"/>
                <w:szCs w:val="2"/>
              </w:rPr>
            </w:pPr>
          </w:p>
        </w:tc>
      </w:tr>
      <w:tr w:rsidR="005558F5" w:rsidRPr="00481167" w:rsidTr="00933A35">
        <w:trPr>
          <w:trHeight w:val="265"/>
        </w:trPr>
        <w:tc>
          <w:tcPr>
            <w:tcW w:w="120" w:type="dxa"/>
            <w:tcBorders>
              <w:top w:val="nil"/>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396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0" w:lineRule="exact"/>
              <w:rPr>
                <w:rFonts w:ascii="Times New Roman" w:hAnsi="Times New Roman"/>
                <w:sz w:val="24"/>
                <w:szCs w:val="24"/>
              </w:rPr>
            </w:pPr>
            <w:r w:rsidRPr="00481167">
              <w:rPr>
                <w:rFonts w:cs="Calibri"/>
              </w:rPr>
              <w:t>Članstvo u GIU HrvatskI cestar</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42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5"/>
        </w:trPr>
        <w:tc>
          <w:tcPr>
            <w:tcW w:w="4080" w:type="dxa"/>
            <w:gridSpan w:val="2"/>
            <w:tcBorders>
              <w:top w:val="nil"/>
              <w:left w:val="single" w:sz="8" w:space="0" w:color="auto"/>
              <w:bottom w:val="nil"/>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nil"/>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42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0" w:lineRule="exact"/>
              <w:rPr>
                <w:rFonts w:ascii="Times New Roman" w:hAnsi="Times New Roman"/>
                <w:sz w:val="2"/>
                <w:szCs w:val="2"/>
              </w:rPr>
            </w:pPr>
          </w:p>
        </w:tc>
      </w:tr>
      <w:tr w:rsidR="005558F5" w:rsidRPr="00481167" w:rsidTr="00933A35">
        <w:trPr>
          <w:trHeight w:val="265"/>
        </w:trPr>
        <w:tc>
          <w:tcPr>
            <w:tcW w:w="120" w:type="dxa"/>
            <w:tcBorders>
              <w:top w:val="nil"/>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3960" w:type="dxa"/>
            <w:tcBorders>
              <w:top w:val="nil"/>
              <w:left w:val="nil"/>
              <w:bottom w:val="single" w:sz="8" w:space="0" w:color="auto"/>
              <w:right w:val="nil"/>
            </w:tcBorders>
            <w:shd w:val="clear" w:color="auto" w:fill="F79646"/>
            <w:vAlign w:val="bottom"/>
          </w:tcPr>
          <w:p w:rsidR="005558F5" w:rsidRPr="00481167" w:rsidRDefault="0008150B" w:rsidP="00933A35">
            <w:pPr>
              <w:widowControl w:val="0"/>
              <w:autoSpaceDE w:val="0"/>
              <w:autoSpaceDN w:val="0"/>
              <w:adjustRightInd w:val="0"/>
              <w:spacing w:after="0" w:line="261" w:lineRule="exact"/>
              <w:rPr>
                <w:rFonts w:ascii="Times New Roman" w:hAnsi="Times New Roman"/>
                <w:sz w:val="24"/>
                <w:szCs w:val="24"/>
              </w:rPr>
            </w:pPr>
            <w:r>
              <w:rPr>
                <w:rFonts w:cs="Calibri"/>
              </w:rPr>
              <w:t>Usklađenost cijene i kvalitete</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0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42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42"/>
        </w:trPr>
        <w:tc>
          <w:tcPr>
            <w:tcW w:w="4080" w:type="dxa"/>
            <w:gridSpan w:val="2"/>
            <w:tcBorders>
              <w:top w:val="nil"/>
              <w:left w:val="single" w:sz="8" w:space="0" w:color="auto"/>
              <w:bottom w:val="nil"/>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nil"/>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428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120" w:type="dxa"/>
            <w:tcBorders>
              <w:top w:val="nil"/>
              <w:left w:val="nil"/>
              <w:bottom w:val="nil"/>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90"/>
        </w:trPr>
        <w:tc>
          <w:tcPr>
            <w:tcW w:w="120" w:type="dxa"/>
            <w:tcBorders>
              <w:top w:val="nil"/>
              <w:left w:val="single" w:sz="8" w:space="0" w:color="auto"/>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0" w:lineRule="exact"/>
              <w:rPr>
                <w:rFonts w:ascii="Times New Roman" w:hAnsi="Times New Roman"/>
                <w:sz w:val="24"/>
                <w:szCs w:val="24"/>
              </w:rPr>
            </w:pPr>
            <w:r w:rsidRPr="00481167">
              <w:rPr>
                <w:rFonts w:cs="Calibri"/>
              </w:rPr>
              <w:t>Privatna vlasnička struktura</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22"/>
        </w:trPr>
        <w:tc>
          <w:tcPr>
            <w:tcW w:w="120" w:type="dxa"/>
            <w:tcBorders>
              <w:top w:val="single" w:sz="8" w:space="0" w:color="7F7F7F"/>
              <w:left w:val="single" w:sz="8" w:space="0" w:color="auto"/>
              <w:bottom w:val="single" w:sz="8" w:space="0" w:color="7F7F7F"/>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960" w:type="dxa"/>
            <w:tcBorders>
              <w:top w:val="single" w:sz="8" w:space="0" w:color="7F7F7F"/>
              <w:left w:val="nil"/>
              <w:bottom w:val="single" w:sz="8" w:space="0" w:color="7F7F7F"/>
              <w:right w:val="nil"/>
            </w:tcBorders>
            <w:shd w:val="clear" w:color="auto" w:fill="7F7F7F"/>
            <w:vAlign w:val="bottom"/>
          </w:tcPr>
          <w:p w:rsidR="005558F5" w:rsidRPr="00481167" w:rsidRDefault="005558F5" w:rsidP="00933A35">
            <w:pPr>
              <w:widowControl w:val="0"/>
              <w:autoSpaceDE w:val="0"/>
              <w:autoSpaceDN w:val="0"/>
              <w:adjustRightInd w:val="0"/>
              <w:spacing w:after="0" w:line="287" w:lineRule="exact"/>
              <w:ind w:left="1280"/>
              <w:rPr>
                <w:rFonts w:ascii="Times New Roman" w:hAnsi="Times New Roman"/>
                <w:sz w:val="24"/>
                <w:szCs w:val="24"/>
              </w:rPr>
            </w:pPr>
            <w:r w:rsidRPr="00481167">
              <w:rPr>
                <w:rFonts w:cs="Calibri"/>
                <w:b/>
                <w:bCs/>
                <w:color w:val="FFFFFF"/>
                <w:sz w:val="24"/>
                <w:szCs w:val="24"/>
              </w:rPr>
              <w:t>MOGUĆNOSTI</w:t>
            </w:r>
          </w:p>
        </w:tc>
        <w:tc>
          <w:tcPr>
            <w:tcW w:w="120" w:type="dxa"/>
            <w:tcBorders>
              <w:top w:val="single" w:sz="8" w:space="0" w:color="7F7F7F"/>
              <w:left w:val="nil"/>
              <w:bottom w:val="single" w:sz="8" w:space="0" w:color="7F7F7F"/>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7F7F7F"/>
              <w:left w:val="nil"/>
              <w:bottom w:val="single" w:sz="8" w:space="0" w:color="7F7F7F"/>
              <w:right w:val="nil"/>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tcBorders>
              <w:top w:val="single" w:sz="8" w:space="0" w:color="7F7F7F"/>
              <w:left w:val="nil"/>
              <w:bottom w:val="single" w:sz="8" w:space="0" w:color="7F7F7F"/>
              <w:right w:val="nil"/>
            </w:tcBorders>
            <w:shd w:val="clear" w:color="auto" w:fill="7F7F7F"/>
            <w:vAlign w:val="bottom"/>
          </w:tcPr>
          <w:p w:rsidR="005558F5" w:rsidRPr="00481167" w:rsidRDefault="005558F5" w:rsidP="00933A35">
            <w:pPr>
              <w:widowControl w:val="0"/>
              <w:autoSpaceDE w:val="0"/>
              <w:autoSpaceDN w:val="0"/>
              <w:adjustRightInd w:val="0"/>
              <w:spacing w:after="0" w:line="287" w:lineRule="exact"/>
              <w:ind w:left="1640"/>
              <w:rPr>
                <w:rFonts w:ascii="Times New Roman" w:hAnsi="Times New Roman"/>
                <w:sz w:val="24"/>
                <w:szCs w:val="24"/>
              </w:rPr>
            </w:pPr>
            <w:r w:rsidRPr="00481167">
              <w:rPr>
                <w:rFonts w:cs="Calibri"/>
                <w:b/>
                <w:bCs/>
                <w:color w:val="FFFFFF"/>
                <w:sz w:val="24"/>
                <w:szCs w:val="24"/>
              </w:rPr>
              <w:t>PRIJETNJE</w:t>
            </w:r>
          </w:p>
        </w:tc>
        <w:tc>
          <w:tcPr>
            <w:tcW w:w="120" w:type="dxa"/>
            <w:tcBorders>
              <w:top w:val="single" w:sz="8" w:space="0" w:color="7F7F7F"/>
              <w:left w:val="nil"/>
              <w:bottom w:val="single" w:sz="8" w:space="0" w:color="7F7F7F"/>
              <w:right w:val="single" w:sz="8" w:space="0" w:color="auto"/>
            </w:tcBorders>
            <w:shd w:val="clear" w:color="auto" w:fill="7F7F7F"/>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02"/>
        </w:trPr>
        <w:tc>
          <w:tcPr>
            <w:tcW w:w="4080" w:type="dxa"/>
            <w:gridSpan w:val="2"/>
            <w:tcBorders>
              <w:top w:val="single" w:sz="8" w:space="0" w:color="auto"/>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67" w:lineRule="exact"/>
              <w:ind w:left="120"/>
              <w:rPr>
                <w:rFonts w:ascii="Times New Roman" w:hAnsi="Times New Roman"/>
                <w:sz w:val="24"/>
                <w:szCs w:val="24"/>
              </w:rPr>
            </w:pPr>
            <w:r>
              <w:rPr>
                <w:rFonts w:cs="Calibri"/>
              </w:rPr>
              <w:t>Poveć</w:t>
            </w:r>
            <w:r w:rsidRPr="00481167">
              <w:rPr>
                <w:rFonts w:cs="Calibri"/>
              </w:rPr>
              <w:t>anje kvalifcirane radne snage</w:t>
            </w:r>
          </w:p>
        </w:tc>
        <w:tc>
          <w:tcPr>
            <w:tcW w:w="120" w:type="dxa"/>
            <w:tcBorders>
              <w:top w:val="single" w:sz="8" w:space="0" w:color="auto"/>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single" w:sz="8" w:space="0" w:color="auto"/>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tcBorders>
              <w:top w:val="single" w:sz="8" w:space="0" w:color="auto"/>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Porast cijena sirovina</w:t>
            </w:r>
          </w:p>
        </w:tc>
        <w:tc>
          <w:tcPr>
            <w:tcW w:w="120" w:type="dxa"/>
            <w:tcBorders>
              <w:top w:val="single" w:sz="8" w:space="0" w:color="auto"/>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90"/>
        </w:trPr>
        <w:tc>
          <w:tcPr>
            <w:tcW w:w="4080" w:type="dxa"/>
            <w:gridSpan w:val="2"/>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67" w:lineRule="exact"/>
              <w:ind w:left="120"/>
              <w:rPr>
                <w:rFonts w:ascii="Times New Roman" w:hAnsi="Times New Roman"/>
                <w:sz w:val="24"/>
                <w:szCs w:val="24"/>
              </w:rPr>
            </w:pPr>
            <w:r w:rsidRPr="00481167">
              <w:rPr>
                <w:rFonts w:cs="Calibri"/>
              </w:rPr>
              <w:t>Ulaganje u modernizaciju mehanizacije</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Ulazak konkurenata na tržište</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90"/>
        </w:trPr>
        <w:tc>
          <w:tcPr>
            <w:tcW w:w="4080" w:type="dxa"/>
            <w:gridSpan w:val="2"/>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67" w:lineRule="exact"/>
              <w:ind w:left="120"/>
              <w:rPr>
                <w:rFonts w:ascii="Times New Roman" w:hAnsi="Times New Roman"/>
                <w:sz w:val="24"/>
                <w:szCs w:val="24"/>
              </w:rPr>
            </w:pPr>
            <w:r w:rsidRPr="00481167">
              <w:rPr>
                <w:rFonts w:cs="Calibri"/>
              </w:rPr>
              <w:t>Primjena novih tehnologija</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tcBorders>
              <w:top w:val="nil"/>
              <w:left w:val="nil"/>
              <w:bottom w:val="single" w:sz="8" w:space="0" w:color="auto"/>
              <w:right w:val="nil"/>
            </w:tcBorders>
            <w:shd w:val="clear" w:color="auto" w:fill="F79646"/>
            <w:vAlign w:val="bottom"/>
          </w:tcPr>
          <w:p w:rsidR="005558F5" w:rsidRPr="00481167" w:rsidRDefault="0008150B" w:rsidP="00933A35">
            <w:pPr>
              <w:widowControl w:val="0"/>
              <w:autoSpaceDE w:val="0"/>
              <w:autoSpaceDN w:val="0"/>
              <w:adjustRightInd w:val="0"/>
              <w:spacing w:after="0" w:line="267" w:lineRule="exact"/>
              <w:rPr>
                <w:rFonts w:ascii="Times New Roman" w:hAnsi="Times New Roman"/>
                <w:sz w:val="24"/>
                <w:szCs w:val="24"/>
              </w:rPr>
            </w:pPr>
            <w:r w:rsidRPr="00481167">
              <w:rPr>
                <w:rFonts w:cs="Calibri"/>
              </w:rPr>
              <w:t>Nepovoljna gospodarska situacija</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90"/>
        </w:trPr>
        <w:tc>
          <w:tcPr>
            <w:tcW w:w="4080" w:type="dxa"/>
            <w:gridSpan w:val="2"/>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ind w:left="120"/>
              <w:rPr>
                <w:rFonts w:ascii="Times New Roman" w:hAnsi="Times New Roman"/>
                <w:sz w:val="24"/>
                <w:szCs w:val="24"/>
              </w:rPr>
            </w:pPr>
            <w:r w:rsidRPr="00481167">
              <w:rPr>
                <w:rFonts w:cs="Calibri"/>
              </w:rPr>
              <w:t>Sufinanciranje iz Europskih fondova</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tcBorders>
              <w:top w:val="nil"/>
              <w:left w:val="nil"/>
              <w:bottom w:val="single" w:sz="8" w:space="0" w:color="auto"/>
              <w:right w:val="nil"/>
            </w:tcBorders>
            <w:shd w:val="clear" w:color="auto" w:fill="F79646"/>
            <w:vAlign w:val="bottom"/>
          </w:tcPr>
          <w:p w:rsidR="005558F5" w:rsidRPr="00481167" w:rsidRDefault="0008150B" w:rsidP="00933A35">
            <w:pPr>
              <w:widowControl w:val="0"/>
              <w:autoSpaceDE w:val="0"/>
              <w:autoSpaceDN w:val="0"/>
              <w:adjustRightInd w:val="0"/>
              <w:spacing w:after="0" w:line="240" w:lineRule="auto"/>
              <w:rPr>
                <w:rFonts w:ascii="Times New Roman" w:hAnsi="Times New Roman"/>
                <w:sz w:val="24"/>
                <w:szCs w:val="24"/>
              </w:rPr>
            </w:pPr>
            <w:r>
              <w:rPr>
                <w:rFonts w:cs="Calibri"/>
              </w:rPr>
              <w:t>Rast pregovaračke moć</w:t>
            </w:r>
            <w:r w:rsidRPr="00481167">
              <w:rPr>
                <w:rFonts w:cs="Calibri"/>
              </w:rPr>
              <w:t>i kupaca</w:t>
            </w: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92"/>
        </w:trPr>
        <w:tc>
          <w:tcPr>
            <w:tcW w:w="4080" w:type="dxa"/>
            <w:gridSpan w:val="2"/>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ind w:left="120"/>
              <w:rPr>
                <w:rFonts w:ascii="Times New Roman" w:hAnsi="Times New Roman"/>
                <w:sz w:val="24"/>
                <w:szCs w:val="24"/>
              </w:rPr>
            </w:pPr>
            <w:r w:rsidRPr="00481167">
              <w:rPr>
                <w:rFonts w:cs="Calibri"/>
              </w:rPr>
              <w:t>Implementacija ISO standarda</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289"/>
        </w:trPr>
        <w:tc>
          <w:tcPr>
            <w:tcW w:w="4080" w:type="dxa"/>
            <w:gridSpan w:val="2"/>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ind w:left="120"/>
              <w:rPr>
                <w:rFonts w:ascii="Times New Roman" w:hAnsi="Times New Roman"/>
                <w:sz w:val="24"/>
                <w:szCs w:val="24"/>
              </w:rPr>
            </w:pPr>
            <w:r w:rsidRPr="00481167">
              <w:rPr>
                <w:rFonts w:cs="Calibri"/>
              </w:rPr>
              <w:t>Sklapanje novih ugovora kao dio Konzorcija</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r w:rsidR="005558F5" w:rsidRPr="00481167" w:rsidTr="00933A35">
        <w:trPr>
          <w:trHeight w:val="304"/>
        </w:trPr>
        <w:tc>
          <w:tcPr>
            <w:tcW w:w="120" w:type="dxa"/>
            <w:tcBorders>
              <w:top w:val="nil"/>
              <w:left w:val="single" w:sz="8" w:space="0" w:color="auto"/>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3960" w:type="dxa"/>
            <w:tcBorders>
              <w:top w:val="nil"/>
              <w:left w:val="nil"/>
              <w:bottom w:val="single" w:sz="8" w:space="0" w:color="auto"/>
              <w:right w:val="nil"/>
            </w:tcBorders>
            <w:vAlign w:val="bottom"/>
          </w:tcPr>
          <w:p w:rsidR="005558F5" w:rsidRPr="00481167" w:rsidRDefault="005558F5" w:rsidP="00933A35">
            <w:pPr>
              <w:widowControl w:val="0"/>
              <w:autoSpaceDE w:val="0"/>
              <w:autoSpaceDN w:val="0"/>
              <w:adjustRightInd w:val="0"/>
              <w:spacing w:after="0" w:line="240" w:lineRule="auto"/>
              <w:ind w:left="60"/>
              <w:rPr>
                <w:rFonts w:ascii="Times New Roman" w:hAnsi="Times New Roman"/>
                <w:sz w:val="24"/>
                <w:szCs w:val="24"/>
              </w:rPr>
            </w:pPr>
            <w:r>
              <w:rPr>
                <w:rFonts w:cs="Calibri"/>
              </w:rPr>
              <w:t>Poveć</w:t>
            </w:r>
            <w:r w:rsidRPr="00481167">
              <w:rPr>
                <w:rFonts w:cs="Calibri"/>
              </w:rPr>
              <w:t>anje nivoa zadovoljstva zaposlenih</w:t>
            </w:r>
          </w:p>
        </w:tc>
        <w:tc>
          <w:tcPr>
            <w:tcW w:w="120" w:type="dxa"/>
            <w:tcBorders>
              <w:top w:val="nil"/>
              <w:left w:val="nil"/>
              <w:bottom w:val="single" w:sz="8" w:space="0" w:color="auto"/>
              <w:right w:val="single" w:sz="8" w:space="0" w:color="auto"/>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4280" w:type="dxa"/>
            <w:tcBorders>
              <w:top w:val="nil"/>
              <w:left w:val="nil"/>
              <w:bottom w:val="single" w:sz="8" w:space="0" w:color="auto"/>
              <w:right w:val="nil"/>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single" w:sz="8" w:space="0" w:color="auto"/>
            </w:tcBorders>
            <w:shd w:val="clear" w:color="auto" w:fill="F79646"/>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5558F5" w:rsidRPr="00481167" w:rsidRDefault="005558F5" w:rsidP="00933A35">
            <w:pPr>
              <w:widowControl w:val="0"/>
              <w:autoSpaceDE w:val="0"/>
              <w:autoSpaceDN w:val="0"/>
              <w:adjustRightInd w:val="0"/>
              <w:spacing w:after="0" w:line="240" w:lineRule="auto"/>
              <w:rPr>
                <w:rFonts w:ascii="Times New Roman" w:hAnsi="Times New Roman"/>
                <w:sz w:val="2"/>
                <w:szCs w:val="2"/>
              </w:rPr>
            </w:pPr>
          </w:p>
        </w:tc>
      </w:tr>
    </w:tbl>
    <w:p w:rsidR="005558F5" w:rsidRDefault="005558F5" w:rsidP="005558F5">
      <w:pPr>
        <w:widowControl w:val="0"/>
        <w:autoSpaceDE w:val="0"/>
        <w:autoSpaceDN w:val="0"/>
        <w:adjustRightInd w:val="0"/>
        <w:spacing w:after="0" w:line="310" w:lineRule="exact"/>
        <w:rPr>
          <w:rFonts w:ascii="Times New Roman" w:hAnsi="Times New Roman"/>
          <w:sz w:val="24"/>
          <w:szCs w:val="24"/>
        </w:rPr>
      </w:pPr>
    </w:p>
    <w:p w:rsidR="005558F5" w:rsidRPr="00F27FAC" w:rsidRDefault="005558F5" w:rsidP="00F27FAC">
      <w:pPr>
        <w:widowControl w:val="0"/>
        <w:overflowPunct w:val="0"/>
        <w:autoSpaceDE w:val="0"/>
        <w:autoSpaceDN w:val="0"/>
        <w:adjustRightInd w:val="0"/>
        <w:spacing w:after="0" w:line="240" w:lineRule="auto"/>
        <w:ind w:left="40" w:right="20"/>
        <w:jc w:val="both"/>
        <w:rPr>
          <w:rFonts w:ascii="Times New Roman" w:hAnsi="Times New Roman"/>
          <w:sz w:val="24"/>
          <w:szCs w:val="24"/>
        </w:rPr>
      </w:pPr>
      <w:r w:rsidRPr="00F27FAC">
        <w:rPr>
          <w:rFonts w:ascii="Times New Roman" w:hAnsi="Times New Roman"/>
          <w:sz w:val="24"/>
          <w:szCs w:val="24"/>
        </w:rPr>
        <w:t>SWOT analiza navodi do jednog zaključka, a to je podržavanje strategije rasta, to znači da snage nadvladavaju slabosti, a mogućnosti prijetnje. Premda se Društvo nalazi u nepovoljnoj gospodarskoj okolini, smatra da svojim snagama može nadvladati vlastite slabosti.</w:t>
      </w:r>
    </w:p>
    <w:p w:rsidR="005558F5" w:rsidRPr="00F27FAC" w:rsidRDefault="005558F5" w:rsidP="00F27FAC">
      <w:pPr>
        <w:widowControl w:val="0"/>
        <w:autoSpaceDE w:val="0"/>
        <w:autoSpaceDN w:val="0"/>
        <w:adjustRightInd w:val="0"/>
        <w:spacing w:after="0" w:line="240" w:lineRule="auto"/>
        <w:jc w:val="both"/>
        <w:rPr>
          <w:rFonts w:ascii="Times New Roman" w:hAnsi="Times New Roman"/>
          <w:sz w:val="24"/>
          <w:szCs w:val="24"/>
        </w:rPr>
      </w:pPr>
    </w:p>
    <w:p w:rsidR="005558F5" w:rsidRPr="00F27FAC" w:rsidRDefault="005558F5" w:rsidP="00F27FAC">
      <w:pPr>
        <w:widowControl w:val="0"/>
        <w:overflowPunct w:val="0"/>
        <w:autoSpaceDE w:val="0"/>
        <w:autoSpaceDN w:val="0"/>
        <w:adjustRightInd w:val="0"/>
        <w:spacing w:after="0" w:line="240" w:lineRule="auto"/>
        <w:ind w:left="40"/>
        <w:jc w:val="both"/>
        <w:rPr>
          <w:rFonts w:ascii="Times New Roman" w:hAnsi="Times New Roman"/>
          <w:sz w:val="24"/>
          <w:szCs w:val="24"/>
        </w:rPr>
      </w:pPr>
      <w:r w:rsidRPr="00F27FAC">
        <w:rPr>
          <w:rFonts w:ascii="Times New Roman" w:hAnsi="Times New Roman"/>
          <w:sz w:val="24"/>
          <w:szCs w:val="24"/>
        </w:rPr>
        <w:t>Društvo će nastaviti raditi na podizanju razine zadovoljstva zaposlenih i rješavanju naslijeđenih nepovoljnih unutarnjih previranja među zaposlenima jer se drži teze da zadovoljni radnici ostvaruju veće prinose Društvu. S obzirom da je Društvo dio Gospodarskog interesnog udruženja, zajednički nastup na tržištu omogućit će daljnju poslovnu suradnju sa glavnim naručiteljima radova, a time de se osigurati postojanost Društva kojima prijeti sve veći ulazak konkurenata na tržište. Kao i prethodnih godina, Društvo će svoj fokus stavljati na modernizaciju opreme i kvalifikaciju radne snage, a Društvo je već započelo sa certifikacijom svoga sustava kao dokaza kvalitete.</w:t>
      </w:r>
    </w:p>
    <w:p w:rsidR="005558F5" w:rsidRPr="00F27FAC" w:rsidRDefault="005558F5" w:rsidP="00F27FAC">
      <w:pPr>
        <w:widowControl w:val="0"/>
        <w:autoSpaceDE w:val="0"/>
        <w:autoSpaceDN w:val="0"/>
        <w:adjustRightInd w:val="0"/>
        <w:spacing w:after="0" w:line="240" w:lineRule="auto"/>
        <w:jc w:val="both"/>
        <w:rPr>
          <w:rFonts w:ascii="Times New Roman" w:hAnsi="Times New Roman"/>
          <w:sz w:val="24"/>
          <w:szCs w:val="24"/>
        </w:rPr>
      </w:pPr>
    </w:p>
    <w:p w:rsidR="005558F5" w:rsidRPr="00F27FAC" w:rsidRDefault="005558F5" w:rsidP="00F27FAC">
      <w:pPr>
        <w:widowControl w:val="0"/>
        <w:overflowPunct w:val="0"/>
        <w:autoSpaceDE w:val="0"/>
        <w:autoSpaceDN w:val="0"/>
        <w:adjustRightInd w:val="0"/>
        <w:spacing w:after="0" w:line="240" w:lineRule="auto"/>
        <w:ind w:left="40"/>
        <w:jc w:val="both"/>
        <w:rPr>
          <w:rFonts w:ascii="Times New Roman" w:hAnsi="Times New Roman"/>
          <w:sz w:val="24"/>
          <w:szCs w:val="24"/>
        </w:rPr>
      </w:pPr>
      <w:r w:rsidRPr="00F27FAC">
        <w:rPr>
          <w:rFonts w:ascii="Times New Roman" w:hAnsi="Times New Roman"/>
          <w:sz w:val="24"/>
          <w:szCs w:val="24"/>
        </w:rPr>
        <w:t>Rast cijena sirovina, visoki fiksni troškovi, ograničeni financijski resursi su slabosti i prijetnje koje će Društvo nastojati eliminirati u što većoj mjeri kako bi ostvarilo prvenstveno opstanak na tržištu, te zadržalo pozitivno poslovanje.</w:t>
      </w: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 w:lineRule="exact"/>
        <w:rPr>
          <w:rFonts w:ascii="Times New Roman" w:hAnsi="Times New Roman"/>
          <w:sz w:val="24"/>
          <w:szCs w:val="24"/>
        </w:rPr>
      </w:pPr>
    </w:p>
    <w:p w:rsidR="005558F5" w:rsidRDefault="005558F5" w:rsidP="007A0CDB">
      <w:pPr>
        <w:widowControl w:val="0"/>
        <w:autoSpaceDE w:val="0"/>
        <w:autoSpaceDN w:val="0"/>
        <w:adjustRightInd w:val="0"/>
        <w:spacing w:after="0" w:line="239" w:lineRule="auto"/>
        <w:rPr>
          <w:rFonts w:ascii="Times New Roman" w:hAnsi="Times New Roman"/>
          <w:sz w:val="24"/>
          <w:szCs w:val="24"/>
        </w:rPr>
        <w:sectPr w:rsidR="005558F5" w:rsidSect="00FE295B">
          <w:pgSz w:w="11900" w:h="16838"/>
          <w:pgMar w:top="702" w:right="1400" w:bottom="704" w:left="1380" w:header="720" w:footer="720" w:gutter="0"/>
          <w:cols w:space="720" w:equalWidth="0">
            <w:col w:w="9120"/>
          </w:cols>
          <w:noEndnote/>
        </w:sectPr>
      </w:pPr>
    </w:p>
    <w:p w:rsidR="005558F5" w:rsidRDefault="005558F5" w:rsidP="00F20CB2">
      <w:pPr>
        <w:widowControl w:val="0"/>
        <w:autoSpaceDE w:val="0"/>
        <w:autoSpaceDN w:val="0"/>
        <w:adjustRightInd w:val="0"/>
        <w:spacing w:after="0" w:line="240" w:lineRule="auto"/>
        <w:rPr>
          <w:rFonts w:ascii="Times New Roman" w:hAnsi="Times New Roman"/>
          <w:sz w:val="24"/>
          <w:szCs w:val="24"/>
        </w:rPr>
      </w:pPr>
      <w:bookmarkStart w:id="4" w:name="page22"/>
      <w:bookmarkEnd w:id="4"/>
      <w:r>
        <w:rPr>
          <w:rFonts w:cs="Calibri"/>
          <w:b/>
          <w:bCs/>
          <w:sz w:val="32"/>
          <w:szCs w:val="32"/>
        </w:rPr>
        <w:lastRenderedPageBreak/>
        <w:t>5. ZAKLJUČAK</w:t>
      </w:r>
    </w:p>
    <w:p w:rsidR="0001308B" w:rsidRDefault="0001308B" w:rsidP="00F27FAC">
      <w:pPr>
        <w:widowControl w:val="0"/>
        <w:overflowPunct w:val="0"/>
        <w:autoSpaceDE w:val="0"/>
        <w:autoSpaceDN w:val="0"/>
        <w:adjustRightInd w:val="0"/>
        <w:spacing w:after="0" w:line="240" w:lineRule="auto"/>
        <w:jc w:val="both"/>
        <w:rPr>
          <w:rFonts w:ascii="Times New Roman" w:hAnsi="Times New Roman"/>
          <w:sz w:val="24"/>
          <w:szCs w:val="24"/>
        </w:rPr>
      </w:pPr>
    </w:p>
    <w:p w:rsidR="0001308B" w:rsidRDefault="0001308B" w:rsidP="00F27FAC">
      <w:pPr>
        <w:widowControl w:val="0"/>
        <w:overflowPunct w:val="0"/>
        <w:autoSpaceDE w:val="0"/>
        <w:autoSpaceDN w:val="0"/>
        <w:adjustRightInd w:val="0"/>
        <w:spacing w:after="0" w:line="240" w:lineRule="auto"/>
        <w:jc w:val="both"/>
        <w:rPr>
          <w:rFonts w:ascii="Times New Roman" w:hAnsi="Times New Roman"/>
          <w:sz w:val="24"/>
          <w:szCs w:val="24"/>
        </w:rPr>
      </w:pPr>
    </w:p>
    <w:p w:rsidR="00F20CB2" w:rsidRDefault="00F20CB2" w:rsidP="00F27FAC">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Gledajući financijske rezultate za 2015.godinu, Društvo zaključuje da se poslovanje odvijalo u skladu sa planovima i ciljevima</w:t>
      </w:r>
      <w:r w:rsidR="006A2AC7">
        <w:rPr>
          <w:rFonts w:ascii="Times New Roman" w:hAnsi="Times New Roman"/>
          <w:sz w:val="24"/>
          <w:szCs w:val="24"/>
        </w:rPr>
        <w:t xml:space="preserve"> zadanima u prethodnoj godini</w:t>
      </w:r>
      <w:r>
        <w:rPr>
          <w:rFonts w:ascii="Times New Roman" w:hAnsi="Times New Roman"/>
          <w:sz w:val="24"/>
          <w:szCs w:val="24"/>
        </w:rPr>
        <w:t>. Koncept razvoja i organizacijski ustroj pokazali su se učinkoviti. Društvo i dalje ulaže u svoje kapacitete, kako u materijalne tako i u ljudske, vodeći se pritom polit</w:t>
      </w:r>
      <w:r w:rsidR="005F4477">
        <w:rPr>
          <w:rFonts w:ascii="Times New Roman" w:hAnsi="Times New Roman"/>
          <w:sz w:val="24"/>
          <w:szCs w:val="24"/>
        </w:rPr>
        <w:t>i</w:t>
      </w:r>
      <w:r>
        <w:rPr>
          <w:rFonts w:ascii="Times New Roman" w:hAnsi="Times New Roman"/>
          <w:sz w:val="24"/>
          <w:szCs w:val="24"/>
        </w:rPr>
        <w:t xml:space="preserve">kom racionalizacije troškova i ostvarivanja dobiti. </w:t>
      </w:r>
    </w:p>
    <w:p w:rsidR="00F20CB2" w:rsidRDefault="00F20CB2" w:rsidP="00F27FAC">
      <w:pPr>
        <w:widowControl w:val="0"/>
        <w:overflowPunct w:val="0"/>
        <w:autoSpaceDE w:val="0"/>
        <w:autoSpaceDN w:val="0"/>
        <w:adjustRightInd w:val="0"/>
        <w:spacing w:after="0" w:line="240" w:lineRule="auto"/>
        <w:jc w:val="both"/>
        <w:rPr>
          <w:rFonts w:ascii="Times New Roman" w:hAnsi="Times New Roman"/>
          <w:sz w:val="24"/>
          <w:szCs w:val="24"/>
        </w:rPr>
      </w:pPr>
    </w:p>
    <w:p w:rsidR="00F20CB2" w:rsidRDefault="00F20CB2" w:rsidP="00F27FAC">
      <w:pPr>
        <w:widowControl w:val="0"/>
        <w:overflowPunct w:val="0"/>
        <w:autoSpaceDE w:val="0"/>
        <w:autoSpaceDN w:val="0"/>
        <w:adjustRightInd w:val="0"/>
        <w:spacing w:after="0" w:line="240" w:lineRule="auto"/>
        <w:jc w:val="both"/>
        <w:rPr>
          <w:rFonts w:ascii="Times New Roman" w:hAnsi="Times New Roman"/>
          <w:sz w:val="24"/>
          <w:szCs w:val="24"/>
        </w:rPr>
      </w:pPr>
    </w:p>
    <w:p w:rsidR="00F20CB2" w:rsidRDefault="00F20CB2" w:rsidP="00F27FAC">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Društvo se još uvijek nalazi u nepovoljnom poslovnom okruženju, ali s druge strane vidljiv je pomak i možebitan općeniti izlazak iz financijske krize sektora u kojem posluje. </w:t>
      </w:r>
      <w:r w:rsidR="006A2AC7">
        <w:rPr>
          <w:rFonts w:ascii="Times New Roman" w:hAnsi="Times New Roman"/>
          <w:sz w:val="24"/>
          <w:szCs w:val="24"/>
        </w:rPr>
        <w:t>Procesi globalizacije i nestabilnosti tržišta samo su pokretač sve jače želje i volje za opstankom i dokazivanjem konkurentnosti na tržištu, kao rezultatom dugogodišnje tradicije i postojanja Društva u poslovima niskogradnje na ovom području. Unatoč prethodno spomenutoj poslovnoj klimi, Društvo će nastojati ostvarivati zadane ciljeve, provoditi viziju koju ima za budućnost te odgovarati na izazove interne i ekstene okoline.</w:t>
      </w:r>
    </w:p>
    <w:p w:rsidR="005F4477" w:rsidRDefault="005F4477" w:rsidP="00F27FAC">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Ostvarivanje zadanih ciljeva Društva će, međutim, donijeti i nove terete u financijskom poslovanju koje će ponajprije osjetiti zaposlenici, jer je dokazano da na današnjem tržištu mogu opstati samo one tvrtke koje racionalno koriste svoje resurse, poglavito ljudske.</w:t>
      </w:r>
    </w:p>
    <w:p w:rsidR="00F20CB2" w:rsidRDefault="00F20CB2" w:rsidP="00F27FAC">
      <w:pPr>
        <w:widowControl w:val="0"/>
        <w:overflowPunct w:val="0"/>
        <w:autoSpaceDE w:val="0"/>
        <w:autoSpaceDN w:val="0"/>
        <w:adjustRightInd w:val="0"/>
        <w:spacing w:after="0" w:line="240" w:lineRule="auto"/>
        <w:jc w:val="both"/>
        <w:rPr>
          <w:rFonts w:ascii="Times New Roman" w:hAnsi="Times New Roman"/>
          <w:sz w:val="24"/>
          <w:szCs w:val="24"/>
        </w:rPr>
      </w:pPr>
    </w:p>
    <w:p w:rsidR="005558F5" w:rsidRPr="00F27FAC" w:rsidRDefault="005558F5" w:rsidP="00F27FAC">
      <w:pPr>
        <w:widowControl w:val="0"/>
        <w:autoSpaceDE w:val="0"/>
        <w:autoSpaceDN w:val="0"/>
        <w:adjustRightInd w:val="0"/>
        <w:spacing w:after="0" w:line="240" w:lineRule="auto"/>
        <w:jc w:val="both"/>
        <w:rPr>
          <w:rFonts w:ascii="Times New Roman" w:hAnsi="Times New Roman"/>
          <w:sz w:val="24"/>
          <w:szCs w:val="24"/>
        </w:rPr>
      </w:pPr>
    </w:p>
    <w:p w:rsidR="005558F5" w:rsidRPr="00F27FAC" w:rsidRDefault="005558F5" w:rsidP="00F27FAC">
      <w:pPr>
        <w:widowControl w:val="0"/>
        <w:overflowPunct w:val="0"/>
        <w:autoSpaceDE w:val="0"/>
        <w:autoSpaceDN w:val="0"/>
        <w:adjustRightInd w:val="0"/>
        <w:spacing w:after="0" w:line="240" w:lineRule="auto"/>
        <w:jc w:val="both"/>
        <w:rPr>
          <w:rFonts w:ascii="Times New Roman" w:hAnsi="Times New Roman"/>
          <w:sz w:val="24"/>
          <w:szCs w:val="24"/>
        </w:rPr>
      </w:pPr>
      <w:r w:rsidRPr="00F27FAC">
        <w:rPr>
          <w:rFonts w:ascii="Times New Roman" w:hAnsi="Times New Roman"/>
          <w:sz w:val="24"/>
          <w:szCs w:val="24"/>
        </w:rPr>
        <w:t>Odgovorno i strpljivo nastavit će se analizirati poslovne prilike, zadržavajući jasa</w:t>
      </w:r>
      <w:r w:rsidR="00F20CB2">
        <w:rPr>
          <w:rFonts w:ascii="Times New Roman" w:hAnsi="Times New Roman"/>
          <w:sz w:val="24"/>
          <w:szCs w:val="24"/>
        </w:rPr>
        <w:t>n strateški fokus te prihvaćajuć</w:t>
      </w:r>
      <w:r w:rsidRPr="00F27FAC">
        <w:rPr>
          <w:rFonts w:ascii="Times New Roman" w:hAnsi="Times New Roman"/>
          <w:sz w:val="24"/>
          <w:szCs w:val="24"/>
        </w:rPr>
        <w:t>i svaku priliku koja bi dugoročno omogućila rast i razvoj samog Društva, zadržavajući transparentnost u poslovanju, pozitivan imidž i povjerenje svih sudionika u poslovanju.</w:t>
      </w:r>
    </w:p>
    <w:p w:rsidR="005558F5" w:rsidRPr="00F27FAC" w:rsidRDefault="005558F5" w:rsidP="00F27FAC">
      <w:pPr>
        <w:widowControl w:val="0"/>
        <w:autoSpaceDE w:val="0"/>
        <w:autoSpaceDN w:val="0"/>
        <w:adjustRightInd w:val="0"/>
        <w:spacing w:after="0" w:line="240" w:lineRule="auto"/>
        <w:jc w:val="both"/>
        <w:rPr>
          <w:rFonts w:ascii="Times New Roman" w:hAnsi="Times New Roman"/>
          <w:sz w:val="24"/>
          <w:szCs w:val="24"/>
        </w:rPr>
      </w:pPr>
    </w:p>
    <w:p w:rsidR="005558F5" w:rsidRPr="00F27FAC" w:rsidRDefault="006A2AC7" w:rsidP="00F27FA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Stanje u Društvu bi se moglo okarakterizirati kao pozitivno, sa tendecijom daljnjeg ulaganja i provođenja planova za što bolju perspektivu poslovanja. </w:t>
      </w:r>
    </w:p>
    <w:p w:rsidR="005558F5" w:rsidRPr="00F27FAC" w:rsidRDefault="005558F5" w:rsidP="00F27FAC">
      <w:pPr>
        <w:widowControl w:val="0"/>
        <w:autoSpaceDE w:val="0"/>
        <w:autoSpaceDN w:val="0"/>
        <w:adjustRightInd w:val="0"/>
        <w:spacing w:after="0" w:line="240" w:lineRule="auto"/>
        <w:jc w:val="both"/>
        <w:rPr>
          <w:rFonts w:ascii="Times New Roman" w:hAnsi="Times New Roman"/>
          <w:sz w:val="24"/>
          <w:szCs w:val="24"/>
        </w:rPr>
      </w:pPr>
    </w:p>
    <w:p w:rsidR="005558F5" w:rsidRPr="00F27FAC" w:rsidRDefault="005558F5" w:rsidP="00F27FAC">
      <w:pPr>
        <w:widowControl w:val="0"/>
        <w:overflowPunct w:val="0"/>
        <w:autoSpaceDE w:val="0"/>
        <w:autoSpaceDN w:val="0"/>
        <w:adjustRightInd w:val="0"/>
        <w:spacing w:after="0" w:line="240" w:lineRule="auto"/>
        <w:jc w:val="both"/>
        <w:rPr>
          <w:rFonts w:ascii="Times New Roman" w:hAnsi="Times New Roman"/>
          <w:sz w:val="24"/>
          <w:szCs w:val="24"/>
        </w:rPr>
      </w:pPr>
    </w:p>
    <w:p w:rsidR="005558F5" w:rsidRPr="00F27FAC" w:rsidRDefault="005558F5" w:rsidP="00F27FAC">
      <w:pPr>
        <w:widowControl w:val="0"/>
        <w:autoSpaceDE w:val="0"/>
        <w:autoSpaceDN w:val="0"/>
        <w:adjustRightInd w:val="0"/>
        <w:spacing w:after="0" w:line="240" w:lineRule="auto"/>
        <w:jc w:val="both"/>
        <w:rPr>
          <w:rFonts w:ascii="Times New Roman" w:hAnsi="Times New Roman"/>
          <w:sz w:val="24"/>
          <w:szCs w:val="24"/>
        </w:rPr>
      </w:pPr>
    </w:p>
    <w:p w:rsidR="009C6F78" w:rsidRDefault="009C6F78" w:rsidP="00FC2DDC">
      <w:pPr>
        <w:widowControl w:val="0"/>
        <w:autoSpaceDE w:val="0"/>
        <w:autoSpaceDN w:val="0"/>
        <w:adjustRightInd w:val="0"/>
        <w:spacing w:after="0" w:line="240" w:lineRule="auto"/>
        <w:rPr>
          <w:rFonts w:ascii="Times New Roman" w:hAnsi="Times New Roman"/>
          <w:sz w:val="28"/>
          <w:szCs w:val="28"/>
        </w:rPr>
      </w:pPr>
    </w:p>
    <w:p w:rsidR="005558F5" w:rsidRPr="00F27FAC" w:rsidRDefault="005558F5" w:rsidP="005558F5">
      <w:pPr>
        <w:widowControl w:val="0"/>
        <w:autoSpaceDE w:val="0"/>
        <w:autoSpaceDN w:val="0"/>
        <w:adjustRightInd w:val="0"/>
        <w:spacing w:after="0" w:line="240" w:lineRule="auto"/>
        <w:ind w:left="6360"/>
        <w:rPr>
          <w:rFonts w:ascii="Times New Roman" w:hAnsi="Times New Roman"/>
          <w:sz w:val="28"/>
          <w:szCs w:val="28"/>
        </w:rPr>
      </w:pPr>
      <w:r w:rsidRPr="00F27FAC">
        <w:rPr>
          <w:rFonts w:ascii="Times New Roman" w:hAnsi="Times New Roman"/>
          <w:sz w:val="28"/>
          <w:szCs w:val="28"/>
        </w:rPr>
        <w:t>DIREKTOR</w:t>
      </w:r>
    </w:p>
    <w:p w:rsidR="005558F5" w:rsidRPr="00F27FAC" w:rsidRDefault="005558F5" w:rsidP="005558F5">
      <w:pPr>
        <w:widowControl w:val="0"/>
        <w:autoSpaceDE w:val="0"/>
        <w:autoSpaceDN w:val="0"/>
        <w:adjustRightInd w:val="0"/>
        <w:spacing w:after="0" w:line="49" w:lineRule="exact"/>
        <w:rPr>
          <w:rFonts w:ascii="Times New Roman" w:hAnsi="Times New Roman"/>
          <w:sz w:val="28"/>
          <w:szCs w:val="28"/>
        </w:rPr>
      </w:pPr>
    </w:p>
    <w:p w:rsidR="005558F5" w:rsidRPr="00F27FAC" w:rsidRDefault="00497AE5" w:rsidP="005558F5">
      <w:pPr>
        <w:widowControl w:val="0"/>
        <w:autoSpaceDE w:val="0"/>
        <w:autoSpaceDN w:val="0"/>
        <w:adjustRightInd w:val="0"/>
        <w:spacing w:after="0" w:line="240" w:lineRule="auto"/>
        <w:ind w:left="6360"/>
        <w:rPr>
          <w:rFonts w:ascii="Times New Roman" w:hAnsi="Times New Roman"/>
          <w:sz w:val="28"/>
          <w:szCs w:val="28"/>
        </w:rPr>
      </w:pPr>
      <w:r>
        <w:rPr>
          <w:rFonts w:ascii="Times New Roman" w:hAnsi="Times New Roman"/>
          <w:sz w:val="28"/>
          <w:szCs w:val="28"/>
        </w:rPr>
        <w:t>Željko Devčić</w:t>
      </w:r>
    </w:p>
    <w:p w:rsidR="005558F5" w:rsidRPr="00F27FAC" w:rsidRDefault="00E03964" w:rsidP="005558F5">
      <w:pPr>
        <w:widowControl w:val="0"/>
        <w:autoSpaceDE w:val="0"/>
        <w:autoSpaceDN w:val="0"/>
        <w:adjustRightInd w:val="0"/>
        <w:spacing w:after="0" w:line="200" w:lineRule="exact"/>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1" locked="0" layoutInCell="0" allowOverlap="1">
                <wp:simplePos x="0" y="0"/>
                <wp:positionH relativeFrom="column">
                  <wp:posOffset>4049395</wp:posOffset>
                </wp:positionH>
                <wp:positionV relativeFrom="paragraph">
                  <wp:posOffset>438150</wp:posOffset>
                </wp:positionV>
                <wp:extent cx="1327150" cy="0"/>
                <wp:effectExtent l="10795" t="9525" r="5080" b="952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85pt,34.5pt" to="423.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Zo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" o:allowincell="f"/>
            </w:pict>
          </mc:Fallback>
        </mc:AlternateContent>
      </w: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Default="005558F5" w:rsidP="005558F5">
      <w:pPr>
        <w:widowControl w:val="0"/>
        <w:autoSpaceDE w:val="0"/>
        <w:autoSpaceDN w:val="0"/>
        <w:adjustRightInd w:val="0"/>
        <w:spacing w:after="0" w:line="200" w:lineRule="exact"/>
        <w:rPr>
          <w:rFonts w:ascii="Times New Roman" w:hAnsi="Times New Roman"/>
          <w:sz w:val="24"/>
          <w:szCs w:val="24"/>
        </w:rPr>
      </w:pPr>
    </w:p>
    <w:p w:rsidR="005558F5" w:rsidRPr="004A16FA" w:rsidRDefault="005558F5" w:rsidP="004A16FA">
      <w:pPr>
        <w:spacing w:line="240" w:lineRule="auto"/>
        <w:jc w:val="both"/>
        <w:rPr>
          <w:rFonts w:ascii="Times New Roman" w:hAnsi="Times New Roman"/>
          <w:sz w:val="24"/>
          <w:szCs w:val="24"/>
        </w:rPr>
      </w:pPr>
    </w:p>
    <w:sectPr w:rsidR="005558F5" w:rsidRPr="004A16FA" w:rsidSect="00FE29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F62" w:rsidRDefault="00C00F62" w:rsidP="003A197E">
      <w:pPr>
        <w:spacing w:after="0" w:line="240" w:lineRule="auto"/>
      </w:pPr>
      <w:r>
        <w:separator/>
      </w:r>
    </w:p>
  </w:endnote>
  <w:endnote w:type="continuationSeparator" w:id="0">
    <w:p w:rsidR="00C00F62" w:rsidRDefault="00C00F62" w:rsidP="003A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1145"/>
      <w:docPartObj>
        <w:docPartGallery w:val="Page Numbers (Bottom of Page)"/>
        <w:docPartUnique/>
      </w:docPartObj>
    </w:sdtPr>
    <w:sdtEndPr>
      <w:rPr>
        <w:b/>
        <w:color w:val="7F7F7F" w:themeColor="background1" w:themeShade="7F"/>
        <w:spacing w:val="60"/>
        <w:sz w:val="28"/>
        <w:szCs w:val="28"/>
      </w:rPr>
    </w:sdtEndPr>
    <w:sdtContent>
      <w:p w:rsidR="00A96769" w:rsidRDefault="00A96769">
        <w:pPr>
          <w:pStyle w:val="Footer"/>
          <w:pBdr>
            <w:top w:val="single" w:sz="4" w:space="1" w:color="D9D9D9" w:themeColor="background1" w:themeShade="D9"/>
          </w:pBdr>
          <w:jc w:val="right"/>
        </w:pPr>
        <w:r>
          <w:t xml:space="preserve">     </w:t>
        </w:r>
        <w:r w:rsidRPr="00D779C1">
          <w:rPr>
            <w:b/>
            <w:sz w:val="24"/>
            <w:szCs w:val="24"/>
          </w:rPr>
          <w:t>Izvješće Uprave Društva o stanju i poslovanju</w:t>
        </w:r>
        <w:r>
          <w:rPr>
            <w:b/>
            <w:sz w:val="24"/>
            <w:szCs w:val="24"/>
          </w:rPr>
          <w:t xml:space="preserve"> za 2015. god.</w:t>
        </w:r>
        <w:r>
          <w:t xml:space="preserve">                              </w:t>
        </w:r>
        <w:r w:rsidRPr="00BE1509">
          <w:rPr>
            <w:b/>
            <w:color w:val="E36C0A" w:themeColor="accent6" w:themeShade="BF"/>
            <w:sz w:val="36"/>
            <w:szCs w:val="36"/>
          </w:rPr>
          <w:fldChar w:fldCharType="begin"/>
        </w:r>
        <w:r w:rsidRPr="00BE1509">
          <w:rPr>
            <w:b/>
            <w:color w:val="E36C0A" w:themeColor="accent6" w:themeShade="BF"/>
            <w:sz w:val="36"/>
            <w:szCs w:val="36"/>
          </w:rPr>
          <w:instrText xml:space="preserve"> PAGE   \* MERGEFORMAT </w:instrText>
        </w:r>
        <w:r w:rsidRPr="00BE1509">
          <w:rPr>
            <w:b/>
            <w:color w:val="E36C0A" w:themeColor="accent6" w:themeShade="BF"/>
            <w:sz w:val="36"/>
            <w:szCs w:val="36"/>
          </w:rPr>
          <w:fldChar w:fldCharType="separate"/>
        </w:r>
        <w:r w:rsidR="00580CAF">
          <w:rPr>
            <w:b/>
            <w:noProof/>
            <w:color w:val="E36C0A" w:themeColor="accent6" w:themeShade="BF"/>
            <w:sz w:val="36"/>
            <w:szCs w:val="36"/>
          </w:rPr>
          <w:t>23</w:t>
        </w:r>
        <w:r w:rsidRPr="00BE1509">
          <w:rPr>
            <w:b/>
            <w:color w:val="E36C0A" w:themeColor="accent6" w:themeShade="BF"/>
            <w:sz w:val="36"/>
            <w:szCs w:val="36"/>
          </w:rPr>
          <w:fldChar w:fldCharType="end"/>
        </w:r>
        <w:r w:rsidRPr="00971F34">
          <w:rPr>
            <w:b/>
            <w:color w:val="E36C0A" w:themeColor="accent6" w:themeShade="BF"/>
            <w:sz w:val="28"/>
            <w:szCs w:val="28"/>
          </w:rPr>
          <w:t xml:space="preserve"> </w:t>
        </w:r>
        <w:r w:rsidRPr="00971F34">
          <w:rPr>
            <w:b/>
            <w:sz w:val="28"/>
            <w:szCs w:val="28"/>
          </w:rPr>
          <w:t>|</w:t>
        </w:r>
      </w:p>
    </w:sdtContent>
  </w:sdt>
  <w:p w:rsidR="00A96769" w:rsidRDefault="00A96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AE5" w:rsidRDefault="00497AE5">
    <w:pPr>
      <w:pStyle w:val="Footer"/>
    </w:pPr>
    <w:r>
      <w:rPr>
        <w:noProof/>
      </w:rPr>
      <w:drawing>
        <wp:anchor distT="0" distB="0" distL="114300" distR="114300" simplePos="0" relativeHeight="251658240" behindDoc="1" locked="1" layoutInCell="1" allowOverlap="1" wp14:anchorId="36FC0D16" wp14:editId="7E8ED1B7">
          <wp:simplePos x="0" y="0"/>
          <wp:positionH relativeFrom="page">
            <wp:posOffset>917575</wp:posOffset>
          </wp:positionH>
          <wp:positionV relativeFrom="page">
            <wp:posOffset>9845040</wp:posOffset>
          </wp:positionV>
          <wp:extent cx="5755640" cy="5676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5676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F62" w:rsidRDefault="00C00F62" w:rsidP="003A197E">
      <w:pPr>
        <w:spacing w:after="0" w:line="240" w:lineRule="auto"/>
      </w:pPr>
      <w:r>
        <w:separator/>
      </w:r>
    </w:p>
  </w:footnote>
  <w:footnote w:type="continuationSeparator" w:id="0">
    <w:p w:rsidR="00C00F62" w:rsidRDefault="00C00F62" w:rsidP="003A19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A3"/>
    <w:rsid w:val="0001308B"/>
    <w:rsid w:val="00047987"/>
    <w:rsid w:val="00076AC1"/>
    <w:rsid w:val="0008150B"/>
    <w:rsid w:val="000971E5"/>
    <w:rsid w:val="000F01A4"/>
    <w:rsid w:val="000F2C20"/>
    <w:rsid w:val="00145F9D"/>
    <w:rsid w:val="001466A6"/>
    <w:rsid w:val="00176556"/>
    <w:rsid w:val="00192BDC"/>
    <w:rsid w:val="002B3AA6"/>
    <w:rsid w:val="002D2F1C"/>
    <w:rsid w:val="00340654"/>
    <w:rsid w:val="00346D17"/>
    <w:rsid w:val="003570B7"/>
    <w:rsid w:val="00373272"/>
    <w:rsid w:val="003844F4"/>
    <w:rsid w:val="003A197E"/>
    <w:rsid w:val="0040191D"/>
    <w:rsid w:val="00497AE5"/>
    <w:rsid w:val="004A16FA"/>
    <w:rsid w:val="004E3774"/>
    <w:rsid w:val="005558F5"/>
    <w:rsid w:val="00580CAF"/>
    <w:rsid w:val="005F4477"/>
    <w:rsid w:val="0067525A"/>
    <w:rsid w:val="00693BE1"/>
    <w:rsid w:val="006A2AC7"/>
    <w:rsid w:val="00761552"/>
    <w:rsid w:val="00774FA3"/>
    <w:rsid w:val="00792E37"/>
    <w:rsid w:val="007A0CDB"/>
    <w:rsid w:val="007D0796"/>
    <w:rsid w:val="007E0D05"/>
    <w:rsid w:val="00822D58"/>
    <w:rsid w:val="00824B2A"/>
    <w:rsid w:val="00832FC0"/>
    <w:rsid w:val="0089515F"/>
    <w:rsid w:val="008E4681"/>
    <w:rsid w:val="00914132"/>
    <w:rsid w:val="0092363D"/>
    <w:rsid w:val="00933A35"/>
    <w:rsid w:val="00955EF9"/>
    <w:rsid w:val="00971F34"/>
    <w:rsid w:val="00971FFE"/>
    <w:rsid w:val="009926F8"/>
    <w:rsid w:val="009A7355"/>
    <w:rsid w:val="009C6F78"/>
    <w:rsid w:val="00A06346"/>
    <w:rsid w:val="00A314FB"/>
    <w:rsid w:val="00A37D19"/>
    <w:rsid w:val="00A61D80"/>
    <w:rsid w:val="00A96769"/>
    <w:rsid w:val="00AD44B9"/>
    <w:rsid w:val="00AF6E46"/>
    <w:rsid w:val="00B20CF6"/>
    <w:rsid w:val="00B66438"/>
    <w:rsid w:val="00BC556F"/>
    <w:rsid w:val="00BE1509"/>
    <w:rsid w:val="00C00F62"/>
    <w:rsid w:val="00C47CD5"/>
    <w:rsid w:val="00C81790"/>
    <w:rsid w:val="00C84A7A"/>
    <w:rsid w:val="00CA0481"/>
    <w:rsid w:val="00CD6F48"/>
    <w:rsid w:val="00CF6900"/>
    <w:rsid w:val="00D42F58"/>
    <w:rsid w:val="00D52113"/>
    <w:rsid w:val="00D56EF2"/>
    <w:rsid w:val="00D779C1"/>
    <w:rsid w:val="00D84B17"/>
    <w:rsid w:val="00DC64CF"/>
    <w:rsid w:val="00E03964"/>
    <w:rsid w:val="00E05046"/>
    <w:rsid w:val="00E44EC1"/>
    <w:rsid w:val="00EA4438"/>
    <w:rsid w:val="00EE2172"/>
    <w:rsid w:val="00F20CB2"/>
    <w:rsid w:val="00F25CCB"/>
    <w:rsid w:val="00F27FAC"/>
    <w:rsid w:val="00F430E7"/>
    <w:rsid w:val="00F57571"/>
    <w:rsid w:val="00F72CEF"/>
    <w:rsid w:val="00FC2DDC"/>
    <w:rsid w:val="00FE29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FA3"/>
    <w:rPr>
      <w:rFonts w:ascii="Calibri" w:eastAsia="Times New Roman" w:hAnsi="Calibri" w:cs="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FA3"/>
    <w:rPr>
      <w:rFonts w:ascii="Tahoma" w:hAnsi="Tahoma" w:cs="Tahoma"/>
      <w:sz w:val="16"/>
      <w:szCs w:val="16"/>
    </w:rPr>
  </w:style>
  <w:style w:type="character" w:styleId="PlaceholderText">
    <w:name w:val="Placeholder Text"/>
    <w:basedOn w:val="DefaultParagraphFont"/>
    <w:uiPriority w:val="99"/>
    <w:semiHidden/>
    <w:rsid w:val="009C6F78"/>
    <w:rPr>
      <w:color w:val="808080"/>
    </w:rPr>
  </w:style>
  <w:style w:type="paragraph" w:styleId="Header">
    <w:name w:val="header"/>
    <w:basedOn w:val="Normal"/>
    <w:link w:val="HeaderChar"/>
    <w:uiPriority w:val="99"/>
    <w:unhideWhenUsed/>
    <w:rsid w:val="003A19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197E"/>
    <w:rPr>
      <w:rFonts w:ascii="Calibri" w:eastAsia="Times New Roman" w:hAnsi="Calibri" w:cs="Times New Roman"/>
      <w:lang w:eastAsia="hr-HR"/>
    </w:rPr>
  </w:style>
  <w:style w:type="paragraph" w:styleId="Footer">
    <w:name w:val="footer"/>
    <w:basedOn w:val="Normal"/>
    <w:link w:val="FooterChar"/>
    <w:uiPriority w:val="99"/>
    <w:unhideWhenUsed/>
    <w:rsid w:val="003A19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197E"/>
    <w:rPr>
      <w:rFonts w:ascii="Calibri" w:eastAsia="Times New Roman" w:hAnsi="Calibri" w:cs="Times New Roman"/>
      <w:lang w:eastAsia="hr-HR"/>
    </w:rPr>
  </w:style>
  <w:style w:type="paragraph" w:styleId="NoSpacing">
    <w:name w:val="No Spacing"/>
    <w:link w:val="NoSpacingChar"/>
    <w:uiPriority w:val="1"/>
    <w:qFormat/>
    <w:rsid w:val="003A197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A197E"/>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FA3"/>
    <w:rPr>
      <w:rFonts w:ascii="Calibri" w:eastAsia="Times New Roman" w:hAnsi="Calibri" w:cs="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FA3"/>
    <w:rPr>
      <w:rFonts w:ascii="Tahoma" w:hAnsi="Tahoma" w:cs="Tahoma"/>
      <w:sz w:val="16"/>
      <w:szCs w:val="16"/>
    </w:rPr>
  </w:style>
  <w:style w:type="character" w:styleId="PlaceholderText">
    <w:name w:val="Placeholder Text"/>
    <w:basedOn w:val="DefaultParagraphFont"/>
    <w:uiPriority w:val="99"/>
    <w:semiHidden/>
    <w:rsid w:val="009C6F78"/>
    <w:rPr>
      <w:color w:val="808080"/>
    </w:rPr>
  </w:style>
  <w:style w:type="paragraph" w:styleId="Header">
    <w:name w:val="header"/>
    <w:basedOn w:val="Normal"/>
    <w:link w:val="HeaderChar"/>
    <w:uiPriority w:val="99"/>
    <w:unhideWhenUsed/>
    <w:rsid w:val="003A19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197E"/>
    <w:rPr>
      <w:rFonts w:ascii="Calibri" w:eastAsia="Times New Roman" w:hAnsi="Calibri" w:cs="Times New Roman"/>
      <w:lang w:eastAsia="hr-HR"/>
    </w:rPr>
  </w:style>
  <w:style w:type="paragraph" w:styleId="Footer">
    <w:name w:val="footer"/>
    <w:basedOn w:val="Normal"/>
    <w:link w:val="FooterChar"/>
    <w:uiPriority w:val="99"/>
    <w:unhideWhenUsed/>
    <w:rsid w:val="003A19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197E"/>
    <w:rPr>
      <w:rFonts w:ascii="Calibri" w:eastAsia="Times New Roman" w:hAnsi="Calibri" w:cs="Times New Roman"/>
      <w:lang w:eastAsia="hr-HR"/>
    </w:rPr>
  </w:style>
  <w:style w:type="paragraph" w:styleId="NoSpacing">
    <w:name w:val="No Spacing"/>
    <w:link w:val="NoSpacingChar"/>
    <w:uiPriority w:val="1"/>
    <w:qFormat/>
    <w:rsid w:val="003A197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A197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chart" Target="charts/chart3.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korisnik\Desktop\Grafiko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korisnik\Desktop\Grafikon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korisnik\Desktop\Grafikon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korisnik\Desktop\Grafikon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korisnik\Desktop\Grafiko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cked"/>
        <c:varyColors val="0"/>
        <c:ser>
          <c:idx val="0"/>
          <c:order val="0"/>
          <c:dLbls>
            <c:dLbl>
              <c:idx val="4"/>
              <c:tx>
                <c:rich>
                  <a:bodyPr/>
                  <a:lstStyle/>
                  <a:p>
                    <a:r>
                      <a:rPr lang="en-US"/>
                      <a:t>19</a:t>
                    </a:r>
                    <a:r>
                      <a:rPr lang="hr-HR"/>
                      <a:t>8</a:t>
                    </a:r>
                    <a:endParaRPr lang="en-US"/>
                  </a:p>
                </c:rich>
              </c:tx>
              <c:showLegendKey val="0"/>
              <c:showVal val="1"/>
              <c:showCatName val="0"/>
              <c:showSerName val="0"/>
              <c:showPercent val="0"/>
              <c:showBubbleSize val="0"/>
            </c:dLbl>
            <c:spPr>
              <a:solidFill>
                <a:srgbClr val="FF9900"/>
              </a:solidFill>
            </c:spPr>
            <c:txPr>
              <a:bodyPr/>
              <a:lstStyle/>
              <a:p>
                <a:pPr>
                  <a:defRPr sz="1200" b="1"/>
                </a:pPr>
                <a:endParaRPr lang="sr-Latn-RS"/>
              </a:p>
            </c:txPr>
            <c:showLegendKey val="0"/>
            <c:showVal val="1"/>
            <c:showCatName val="0"/>
            <c:showSerName val="0"/>
            <c:showPercent val="0"/>
            <c:showBubbleSize val="0"/>
            <c:showLeaderLines val="0"/>
          </c:dLbls>
          <c:cat>
            <c:strRef>
              <c:f>Sheet1!$B$54:$F$54</c:f>
              <c:strCache>
                <c:ptCount val="5"/>
                <c:pt idx="0">
                  <c:v>01.01.</c:v>
                </c:pt>
                <c:pt idx="1">
                  <c:v>31.03.</c:v>
                </c:pt>
                <c:pt idx="2">
                  <c:v>30.06.</c:v>
                </c:pt>
                <c:pt idx="3">
                  <c:v>30.09.</c:v>
                </c:pt>
                <c:pt idx="4">
                  <c:v>31.12.</c:v>
                </c:pt>
              </c:strCache>
            </c:strRef>
          </c:cat>
          <c:val>
            <c:numRef>
              <c:f>Sheet1!$B$55:$F$55</c:f>
              <c:numCache>
                <c:formatCode>#,##0</c:formatCode>
                <c:ptCount val="5"/>
                <c:pt idx="0" formatCode="General">
                  <c:v>194</c:v>
                </c:pt>
                <c:pt idx="1">
                  <c:v>196</c:v>
                </c:pt>
                <c:pt idx="2">
                  <c:v>199</c:v>
                </c:pt>
                <c:pt idx="3" formatCode="General">
                  <c:v>198</c:v>
                </c:pt>
                <c:pt idx="4" formatCode="General">
                  <c:v>199</c:v>
                </c:pt>
              </c:numCache>
            </c:numRef>
          </c:val>
          <c:smooth val="0"/>
        </c:ser>
        <c:dLbls>
          <c:showLegendKey val="0"/>
          <c:showVal val="1"/>
          <c:showCatName val="0"/>
          <c:showSerName val="0"/>
          <c:showPercent val="0"/>
          <c:showBubbleSize val="0"/>
        </c:dLbls>
        <c:marker val="1"/>
        <c:smooth val="0"/>
        <c:axId val="148069376"/>
        <c:axId val="150361984"/>
      </c:lineChart>
      <c:catAx>
        <c:axId val="148069376"/>
        <c:scaling>
          <c:orientation val="minMax"/>
        </c:scaling>
        <c:delete val="0"/>
        <c:axPos val="b"/>
        <c:majorTickMark val="none"/>
        <c:minorTickMark val="none"/>
        <c:tickLblPos val="nextTo"/>
        <c:txPr>
          <a:bodyPr/>
          <a:lstStyle/>
          <a:p>
            <a:pPr>
              <a:defRPr sz="1200" b="1"/>
            </a:pPr>
            <a:endParaRPr lang="sr-Latn-RS"/>
          </a:p>
        </c:txPr>
        <c:crossAx val="150361984"/>
        <c:crosses val="autoZero"/>
        <c:auto val="1"/>
        <c:lblAlgn val="ctr"/>
        <c:lblOffset val="100"/>
        <c:noMultiLvlLbl val="0"/>
      </c:catAx>
      <c:valAx>
        <c:axId val="150361984"/>
        <c:scaling>
          <c:orientation val="minMax"/>
        </c:scaling>
        <c:delete val="1"/>
        <c:axPos val="l"/>
        <c:numFmt formatCode="General" sourceLinked="1"/>
        <c:majorTickMark val="none"/>
        <c:minorTickMark val="none"/>
        <c:tickLblPos val="nextTo"/>
        <c:crossAx val="148069376"/>
        <c:crosses val="autoZero"/>
        <c:crossBetween val="between"/>
      </c:valAx>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cked"/>
        <c:varyColors val="0"/>
        <c:ser>
          <c:idx val="0"/>
          <c:order val="0"/>
          <c:dLbls>
            <c:spPr>
              <a:solidFill>
                <a:srgbClr val="FF9900"/>
              </a:solidFill>
            </c:spPr>
            <c:txPr>
              <a:bodyPr/>
              <a:lstStyle/>
              <a:p>
                <a:pPr>
                  <a:defRPr sz="1200" b="1"/>
                </a:pPr>
                <a:endParaRPr lang="sr-Latn-RS"/>
              </a:p>
            </c:txPr>
            <c:showLegendKey val="0"/>
            <c:showVal val="1"/>
            <c:showCatName val="0"/>
            <c:showSerName val="0"/>
            <c:showPercent val="0"/>
            <c:showBubbleSize val="0"/>
            <c:showLeaderLines val="0"/>
          </c:dLbls>
          <c:cat>
            <c:strRef>
              <c:f>Sheet1!$B$54:$F$54</c:f>
              <c:strCache>
                <c:ptCount val="5"/>
                <c:pt idx="0">
                  <c:v>01.01.</c:v>
                </c:pt>
                <c:pt idx="1">
                  <c:v>31.03.</c:v>
                </c:pt>
                <c:pt idx="2">
                  <c:v>30.06.</c:v>
                </c:pt>
                <c:pt idx="3">
                  <c:v>30.09.</c:v>
                </c:pt>
                <c:pt idx="4">
                  <c:v>31.12.</c:v>
                </c:pt>
              </c:strCache>
            </c:strRef>
          </c:cat>
          <c:val>
            <c:numRef>
              <c:f>Sheet1!$B$55:$F$55</c:f>
              <c:numCache>
                <c:formatCode>#,##0</c:formatCode>
                <c:ptCount val="5"/>
                <c:pt idx="0" formatCode="General">
                  <c:v>194</c:v>
                </c:pt>
                <c:pt idx="1">
                  <c:v>196</c:v>
                </c:pt>
                <c:pt idx="2">
                  <c:v>199</c:v>
                </c:pt>
                <c:pt idx="3" formatCode="General">
                  <c:v>198</c:v>
                </c:pt>
                <c:pt idx="4" formatCode="General">
                  <c:v>199</c:v>
                </c:pt>
              </c:numCache>
            </c:numRef>
          </c:val>
          <c:smooth val="0"/>
        </c:ser>
        <c:dLbls>
          <c:showLegendKey val="0"/>
          <c:showVal val="1"/>
          <c:showCatName val="0"/>
          <c:showSerName val="0"/>
          <c:showPercent val="0"/>
          <c:showBubbleSize val="0"/>
        </c:dLbls>
        <c:marker val="1"/>
        <c:smooth val="0"/>
        <c:axId val="219154304"/>
        <c:axId val="223811072"/>
      </c:lineChart>
      <c:catAx>
        <c:axId val="219154304"/>
        <c:scaling>
          <c:orientation val="minMax"/>
        </c:scaling>
        <c:delete val="0"/>
        <c:axPos val="b"/>
        <c:majorTickMark val="none"/>
        <c:minorTickMark val="none"/>
        <c:tickLblPos val="nextTo"/>
        <c:txPr>
          <a:bodyPr/>
          <a:lstStyle/>
          <a:p>
            <a:pPr>
              <a:defRPr sz="1200" b="1"/>
            </a:pPr>
            <a:endParaRPr lang="sr-Latn-RS"/>
          </a:p>
        </c:txPr>
        <c:crossAx val="223811072"/>
        <c:crosses val="autoZero"/>
        <c:auto val="1"/>
        <c:lblAlgn val="ctr"/>
        <c:lblOffset val="100"/>
        <c:noMultiLvlLbl val="0"/>
      </c:catAx>
      <c:valAx>
        <c:axId val="223811072"/>
        <c:scaling>
          <c:orientation val="minMax"/>
        </c:scaling>
        <c:delete val="1"/>
        <c:axPos val="l"/>
        <c:numFmt formatCode="General" sourceLinked="1"/>
        <c:majorTickMark val="none"/>
        <c:minorTickMark val="none"/>
        <c:tickLblPos val="nextTo"/>
        <c:crossAx val="219154304"/>
        <c:crosses val="autoZero"/>
        <c:crossBetween val="between"/>
      </c:valAx>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depthPercent val="260"/>
      <c:rAngAx val="1"/>
    </c:view3D>
    <c:floor>
      <c:thickness val="0"/>
    </c:floor>
    <c:sideWall>
      <c:thickness val="0"/>
    </c:sideWall>
    <c:backWall>
      <c:thickness val="0"/>
    </c:backWall>
    <c:plotArea>
      <c:layout/>
      <c:bar3DChart>
        <c:barDir val="bar"/>
        <c:grouping val="clustered"/>
        <c:varyColors val="0"/>
        <c:ser>
          <c:idx val="0"/>
          <c:order val="0"/>
          <c:tx>
            <c:strRef>
              <c:f>Sheet1!$C$2</c:f>
              <c:strCache>
                <c:ptCount val="1"/>
                <c:pt idx="0">
                  <c:v>2014.</c:v>
                </c:pt>
              </c:strCache>
            </c:strRef>
          </c:tx>
          <c:invertIfNegative val="0"/>
          <c:cat>
            <c:strRef>
              <c:f>Sheet1!$A$3:$B$5</c:f>
              <c:strCache>
                <c:ptCount val="3"/>
                <c:pt idx="0">
                  <c:v>Ukupni prihodi</c:v>
                </c:pt>
                <c:pt idx="1">
                  <c:v>Ukupni rashodi</c:v>
                </c:pt>
                <c:pt idx="2">
                  <c:v>Dobit</c:v>
                </c:pt>
              </c:strCache>
            </c:strRef>
          </c:cat>
          <c:val>
            <c:numRef>
              <c:f>Sheet1!$C$3:$C$5</c:f>
              <c:numCache>
                <c:formatCode>#,##0</c:formatCode>
                <c:ptCount val="3"/>
                <c:pt idx="0">
                  <c:v>55891184</c:v>
                </c:pt>
                <c:pt idx="1">
                  <c:v>55663116</c:v>
                </c:pt>
                <c:pt idx="2">
                  <c:v>126044</c:v>
                </c:pt>
              </c:numCache>
            </c:numRef>
          </c:val>
        </c:ser>
        <c:ser>
          <c:idx val="1"/>
          <c:order val="1"/>
          <c:tx>
            <c:strRef>
              <c:f>Sheet1!$D$2</c:f>
              <c:strCache>
                <c:ptCount val="1"/>
                <c:pt idx="0">
                  <c:v>2015.</c:v>
                </c:pt>
              </c:strCache>
            </c:strRef>
          </c:tx>
          <c:spPr>
            <a:solidFill>
              <a:srgbClr val="FF9900"/>
            </a:solidFill>
          </c:spPr>
          <c:invertIfNegative val="0"/>
          <c:cat>
            <c:strRef>
              <c:f>Sheet1!$A$3:$B$5</c:f>
              <c:strCache>
                <c:ptCount val="3"/>
                <c:pt idx="0">
                  <c:v>Ukupni prihodi</c:v>
                </c:pt>
                <c:pt idx="1">
                  <c:v>Ukupni rashodi</c:v>
                </c:pt>
                <c:pt idx="2">
                  <c:v>Dobit</c:v>
                </c:pt>
              </c:strCache>
            </c:strRef>
          </c:cat>
          <c:val>
            <c:numRef>
              <c:f>Sheet1!$D$3:$D$5</c:f>
              <c:numCache>
                <c:formatCode>#,##0</c:formatCode>
                <c:ptCount val="3"/>
                <c:pt idx="0">
                  <c:v>52028430</c:v>
                </c:pt>
                <c:pt idx="1">
                  <c:v>51424192</c:v>
                </c:pt>
                <c:pt idx="2">
                  <c:v>464885</c:v>
                </c:pt>
              </c:numCache>
            </c:numRef>
          </c:val>
        </c:ser>
        <c:dLbls>
          <c:showLegendKey val="0"/>
          <c:showVal val="0"/>
          <c:showCatName val="0"/>
          <c:showSerName val="0"/>
          <c:showPercent val="0"/>
          <c:showBubbleSize val="0"/>
        </c:dLbls>
        <c:gapWidth val="150"/>
        <c:shape val="box"/>
        <c:axId val="148099072"/>
        <c:axId val="148100608"/>
        <c:axId val="0"/>
      </c:bar3DChart>
      <c:catAx>
        <c:axId val="148099072"/>
        <c:scaling>
          <c:orientation val="minMax"/>
        </c:scaling>
        <c:delete val="0"/>
        <c:axPos val="l"/>
        <c:majorTickMark val="out"/>
        <c:minorTickMark val="none"/>
        <c:tickLblPos val="nextTo"/>
        <c:txPr>
          <a:bodyPr/>
          <a:lstStyle/>
          <a:p>
            <a:pPr>
              <a:defRPr sz="1100" b="1"/>
            </a:pPr>
            <a:endParaRPr lang="sr-Latn-RS"/>
          </a:p>
        </c:txPr>
        <c:crossAx val="148100608"/>
        <c:crosses val="autoZero"/>
        <c:auto val="1"/>
        <c:lblAlgn val="ctr"/>
        <c:lblOffset val="100"/>
        <c:noMultiLvlLbl val="0"/>
      </c:catAx>
      <c:valAx>
        <c:axId val="148100608"/>
        <c:scaling>
          <c:orientation val="minMax"/>
        </c:scaling>
        <c:delete val="0"/>
        <c:axPos val="b"/>
        <c:majorGridlines/>
        <c:numFmt formatCode="#,##0" sourceLinked="1"/>
        <c:majorTickMark val="out"/>
        <c:minorTickMark val="none"/>
        <c:tickLblPos val="nextTo"/>
        <c:crossAx val="14809907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Pt>
            <c:idx val="0"/>
            <c:bubble3D val="0"/>
            <c:spPr>
              <a:solidFill>
                <a:schemeClr val="tx1">
                  <a:lumMod val="85000"/>
                  <a:lumOff val="15000"/>
                </a:schemeClr>
              </a:solidFill>
            </c:spPr>
          </c:dPt>
          <c:dPt>
            <c:idx val="1"/>
            <c:bubble3D val="0"/>
            <c:spPr>
              <a:solidFill>
                <a:srgbClr val="FF9900"/>
              </a:solidFill>
            </c:spPr>
          </c:dPt>
          <c:dPt>
            <c:idx val="2"/>
            <c:bubble3D val="0"/>
            <c:spPr>
              <a:solidFill>
                <a:schemeClr val="bg1">
                  <a:lumMod val="65000"/>
                </a:schemeClr>
              </a:solidFill>
            </c:spPr>
          </c:dPt>
          <c:dPt>
            <c:idx val="3"/>
            <c:bubble3D val="0"/>
            <c:spPr>
              <a:solidFill>
                <a:schemeClr val="bg1">
                  <a:lumMod val="50000"/>
                </a:schemeClr>
              </a:solidFill>
            </c:spPr>
          </c:dPt>
          <c:dPt>
            <c:idx val="4"/>
            <c:bubble3D val="0"/>
            <c:spPr>
              <a:solidFill>
                <a:srgbClr val="FFCC00"/>
              </a:solidFill>
            </c:spPr>
          </c:dPt>
          <c:dLbls>
            <c:txPr>
              <a:bodyPr/>
              <a:lstStyle/>
              <a:p>
                <a:pPr>
                  <a:defRPr sz="1400" b="1"/>
                </a:pPr>
                <a:endParaRPr lang="sr-Latn-RS"/>
              </a:p>
            </c:txPr>
            <c:showLegendKey val="0"/>
            <c:showVal val="0"/>
            <c:showCatName val="0"/>
            <c:showSerName val="0"/>
            <c:showPercent val="1"/>
            <c:showBubbleSize val="0"/>
            <c:showLeaderLines val="1"/>
          </c:dLbls>
          <c:cat>
            <c:strRef>
              <c:f>Sheet1!$C$25:$H$25</c:f>
              <c:strCache>
                <c:ptCount val="6"/>
                <c:pt idx="0">
                  <c:v>Nematerijalna imovina</c:v>
                </c:pt>
                <c:pt idx="1">
                  <c:v>Zemljište</c:v>
                </c:pt>
                <c:pt idx="2">
                  <c:v>Građevinski objekti</c:v>
                </c:pt>
                <c:pt idx="3">
                  <c:v>Postrojenja i oprema</c:v>
                </c:pt>
                <c:pt idx="4">
                  <c:v>Alati,transportna sredstva</c:v>
                </c:pt>
                <c:pt idx="5">
                  <c:v>Ostala mat.imovina</c:v>
                </c:pt>
              </c:strCache>
            </c:strRef>
          </c:cat>
          <c:val>
            <c:numRef>
              <c:f>Sheet1!$C$26:$H$26</c:f>
              <c:numCache>
                <c:formatCode>#,##0</c:formatCode>
                <c:ptCount val="6"/>
                <c:pt idx="0">
                  <c:v>111244</c:v>
                </c:pt>
                <c:pt idx="1">
                  <c:v>1111649</c:v>
                </c:pt>
                <c:pt idx="2">
                  <c:v>394578</c:v>
                </c:pt>
                <c:pt idx="3">
                  <c:v>5362686</c:v>
                </c:pt>
                <c:pt idx="4">
                  <c:v>5582970</c:v>
                </c:pt>
                <c:pt idx="5">
                  <c:v>363493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Pt>
            <c:idx val="0"/>
            <c:bubble3D val="0"/>
            <c:spPr>
              <a:solidFill>
                <a:srgbClr val="FFFF00"/>
              </a:solidFill>
            </c:spPr>
          </c:dPt>
          <c:dPt>
            <c:idx val="1"/>
            <c:bubble3D val="0"/>
            <c:spPr>
              <a:solidFill>
                <a:schemeClr val="bg1">
                  <a:lumMod val="50000"/>
                </a:schemeClr>
              </a:solidFill>
            </c:spPr>
          </c:dPt>
          <c:dPt>
            <c:idx val="2"/>
            <c:bubble3D val="0"/>
            <c:spPr>
              <a:solidFill>
                <a:schemeClr val="bg1">
                  <a:lumMod val="75000"/>
                </a:schemeClr>
              </a:solidFill>
            </c:spPr>
          </c:dPt>
          <c:dPt>
            <c:idx val="3"/>
            <c:bubble3D val="0"/>
            <c:spPr>
              <a:solidFill>
                <a:srgbClr val="FF9900"/>
              </a:solidFill>
            </c:spPr>
          </c:dPt>
          <c:dLbls>
            <c:txPr>
              <a:bodyPr/>
              <a:lstStyle/>
              <a:p>
                <a:pPr>
                  <a:defRPr sz="1200" b="1"/>
                </a:pPr>
                <a:endParaRPr lang="sr-Latn-RS"/>
              </a:p>
            </c:txPr>
            <c:showLegendKey val="0"/>
            <c:showVal val="0"/>
            <c:showCatName val="0"/>
            <c:showSerName val="0"/>
            <c:showPercent val="1"/>
            <c:showBubbleSize val="0"/>
            <c:showLeaderLines val="1"/>
          </c:dLbls>
          <c:cat>
            <c:strRef>
              <c:f>Sheet1!$C$37:$F$37</c:f>
              <c:strCache>
                <c:ptCount val="4"/>
                <c:pt idx="0">
                  <c:v>Zalihe</c:v>
                </c:pt>
                <c:pt idx="1">
                  <c:v>Potraživanja od kupaca</c:v>
                </c:pt>
                <c:pt idx="2">
                  <c:v>Potraživanja od države</c:v>
                </c:pt>
                <c:pt idx="3">
                  <c:v>Novac u banci i blagajni</c:v>
                </c:pt>
              </c:strCache>
            </c:strRef>
          </c:cat>
          <c:val>
            <c:numRef>
              <c:f>Sheet1!$C$38:$F$38</c:f>
              <c:numCache>
                <c:formatCode>#,##0</c:formatCode>
                <c:ptCount val="4"/>
                <c:pt idx="0">
                  <c:v>2516488</c:v>
                </c:pt>
                <c:pt idx="1">
                  <c:v>6691441</c:v>
                </c:pt>
                <c:pt idx="2">
                  <c:v>221633</c:v>
                </c:pt>
                <c:pt idx="3">
                  <c:v>6137467</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642909-96F1-4DE3-839B-D94D8B3E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5290</Words>
  <Characters>30153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Izvješće Uprave Društva o stanju i poslovanju</vt:lpstr>
    </vt:vector>
  </TitlesOfParts>
  <Company>Lika ceste</Company>
  <LinksUpToDate>false</LinksUpToDate>
  <CharactersWithSpaces>35373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Izvješće Uprave Društva o stanju i poslovanju</dc:title>
  <dc:creator>Korisnik</dc:creator>
  <cp:lastModifiedBy>Korisnik</cp:lastModifiedBy>
  <cp:revision>2</cp:revision>
  <cp:lastPrinted>2016-05-11T12:44:00Z</cp:lastPrinted>
  <dcterms:created xsi:type="dcterms:W3CDTF">2016-05-25T12:41:00Z</dcterms:created>
  <dcterms:modified xsi:type="dcterms:W3CDTF">2016-05-25T12:41:00Z</dcterms:modified>
</cp:coreProperties>
</file>